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9D7" w:rsidRDefault="00EE09D7" w:rsidP="004C786A">
      <w:pPr>
        <w:jc w:val="center"/>
        <w:rPr>
          <w:rFonts w:asciiTheme="minorHAnsi" w:hAnsiTheme="minorHAnsi"/>
          <w:b/>
        </w:rPr>
      </w:pPr>
    </w:p>
    <w:p w:rsidR="00477EA6" w:rsidRPr="004B4790" w:rsidRDefault="00477EA6" w:rsidP="00477EA6">
      <w:pPr>
        <w:jc w:val="center"/>
        <w:rPr>
          <w:rFonts w:ascii="Verdana" w:hAnsi="Verdana"/>
          <w:u w:val="single"/>
        </w:rPr>
      </w:pPr>
      <w:r w:rsidRPr="004B4790">
        <w:rPr>
          <w:rFonts w:ascii="Verdana" w:hAnsi="Verdana"/>
          <w:u w:val="single"/>
        </w:rPr>
        <w:t xml:space="preserve">I maggiori aumenti nel 2022 per bar </w:t>
      </w:r>
      <w:r>
        <w:rPr>
          <w:rFonts w:ascii="Verdana" w:hAnsi="Verdana"/>
          <w:u w:val="single"/>
        </w:rPr>
        <w:t xml:space="preserve">(+100%) </w:t>
      </w:r>
      <w:r w:rsidRPr="004B4790">
        <w:rPr>
          <w:rFonts w:ascii="Verdana" w:hAnsi="Verdana"/>
          <w:u w:val="single"/>
        </w:rPr>
        <w:t>e ristoranti</w:t>
      </w:r>
      <w:r>
        <w:rPr>
          <w:rFonts w:ascii="Verdana" w:hAnsi="Verdana"/>
          <w:u w:val="single"/>
        </w:rPr>
        <w:t xml:space="preserve"> (+73%)</w:t>
      </w:r>
      <w:r w:rsidRPr="004B4790">
        <w:rPr>
          <w:rFonts w:ascii="Verdana" w:hAnsi="Verdana"/>
          <w:u w:val="single"/>
        </w:rPr>
        <w:t xml:space="preserve">. </w:t>
      </w:r>
      <w:r>
        <w:rPr>
          <w:rFonts w:ascii="Verdana" w:hAnsi="Verdana"/>
          <w:u w:val="single"/>
        </w:rPr>
        <w:t xml:space="preserve">Nell’autotrasporto 7 miliardi in più di costi. </w:t>
      </w:r>
      <w:r w:rsidRPr="004B4790">
        <w:rPr>
          <w:rFonts w:ascii="Verdana" w:hAnsi="Verdana"/>
          <w:u w:val="single"/>
        </w:rPr>
        <w:t>Necessarie misure strutturali</w:t>
      </w:r>
    </w:p>
    <w:p w:rsidR="00477EA6" w:rsidRPr="00D26E20" w:rsidRDefault="00477EA6" w:rsidP="00477EA6">
      <w:pPr>
        <w:jc w:val="center"/>
        <w:rPr>
          <w:rFonts w:ascii="Verdana" w:hAnsi="Verdana"/>
          <w:sz w:val="22"/>
          <w:szCs w:val="22"/>
        </w:rPr>
      </w:pPr>
    </w:p>
    <w:p w:rsidR="00477EA6" w:rsidRPr="00015B64" w:rsidRDefault="00477EA6" w:rsidP="00477EA6">
      <w:pPr>
        <w:jc w:val="center"/>
        <w:rPr>
          <w:rFonts w:ascii="Verdana" w:hAnsi="Verdana"/>
          <w:b/>
          <w:szCs w:val="28"/>
        </w:rPr>
      </w:pPr>
      <w:r w:rsidRPr="00015B64">
        <w:rPr>
          <w:rFonts w:ascii="Verdana" w:hAnsi="Verdana"/>
          <w:b/>
          <w:szCs w:val="28"/>
        </w:rPr>
        <w:t>CONFCOMMERCIO SU CARO-ENERGIA: PER IMPRESE TERZIARIO</w:t>
      </w:r>
      <w:r>
        <w:rPr>
          <w:rFonts w:ascii="Verdana" w:hAnsi="Verdana"/>
          <w:b/>
          <w:szCs w:val="28"/>
        </w:rPr>
        <w:t xml:space="preserve"> AUMENTI BOLLETTE INSOSTENIBILI</w:t>
      </w:r>
    </w:p>
    <w:p w:rsidR="00477EA6" w:rsidRPr="00CB6885" w:rsidRDefault="00477EA6" w:rsidP="00477EA6">
      <w:pPr>
        <w:jc w:val="both"/>
        <w:rPr>
          <w:rFonts w:ascii="Verdana" w:hAnsi="Verdana"/>
          <w:sz w:val="23"/>
          <w:szCs w:val="23"/>
        </w:rPr>
      </w:pPr>
    </w:p>
    <w:p w:rsidR="00477EA6" w:rsidRDefault="00477EA6" w:rsidP="00477EA6">
      <w:pPr>
        <w:jc w:val="both"/>
        <w:rPr>
          <w:rFonts w:ascii="Verdana" w:hAnsi="Verdana"/>
          <w:sz w:val="23"/>
          <w:szCs w:val="23"/>
        </w:rPr>
      </w:pPr>
      <w:r w:rsidRPr="00CB6885">
        <w:rPr>
          <w:rFonts w:ascii="Verdana" w:hAnsi="Verdana"/>
          <w:sz w:val="23"/>
          <w:szCs w:val="23"/>
        </w:rPr>
        <w:t>Il caro energia sta colpendo pesantemente le imprese del commercio, della ricettività e della ristorazione che nel 2022</w:t>
      </w:r>
      <w:r>
        <w:rPr>
          <w:rFonts w:ascii="Verdana" w:hAnsi="Verdana"/>
          <w:sz w:val="23"/>
          <w:szCs w:val="23"/>
        </w:rPr>
        <w:t>, nonostante le misure di contenimento già adottate dal Governo,</w:t>
      </w:r>
      <w:r w:rsidRPr="00CB6885">
        <w:rPr>
          <w:rFonts w:ascii="Verdana" w:hAnsi="Verdana"/>
          <w:sz w:val="23"/>
          <w:szCs w:val="23"/>
        </w:rPr>
        <w:t xml:space="preserve"> dovranno sostenere un aumento della bolletta energetica</w:t>
      </w:r>
      <w:r>
        <w:rPr>
          <w:rFonts w:ascii="Verdana" w:hAnsi="Verdana"/>
          <w:sz w:val="23"/>
          <w:szCs w:val="23"/>
        </w:rPr>
        <w:t xml:space="preserve"> </w:t>
      </w:r>
      <w:r w:rsidRPr="00CB6885">
        <w:rPr>
          <w:rFonts w:ascii="Verdana" w:hAnsi="Verdana"/>
          <w:sz w:val="23"/>
          <w:szCs w:val="23"/>
        </w:rPr>
        <w:t xml:space="preserve">con una spesa complessiva per gas ed elettricità che passerà da 11,3 miliardi di euro </w:t>
      </w:r>
      <w:r>
        <w:rPr>
          <w:rFonts w:ascii="Verdana" w:hAnsi="Verdana"/>
          <w:sz w:val="23"/>
          <w:szCs w:val="23"/>
        </w:rPr>
        <w:t xml:space="preserve">del 2021 </w:t>
      </w:r>
      <w:r w:rsidRPr="00CB6885">
        <w:rPr>
          <w:rFonts w:ascii="Verdana" w:hAnsi="Verdana"/>
          <w:sz w:val="23"/>
          <w:szCs w:val="23"/>
        </w:rPr>
        <w:t xml:space="preserve">a 19,9 miliardi (+76%) Un conto salatissimo per </w:t>
      </w:r>
      <w:r>
        <w:rPr>
          <w:rFonts w:ascii="Verdana" w:hAnsi="Verdana"/>
          <w:sz w:val="23"/>
          <w:szCs w:val="23"/>
        </w:rPr>
        <w:t xml:space="preserve">1 milione di </w:t>
      </w:r>
      <w:r w:rsidRPr="00CB6885">
        <w:rPr>
          <w:rFonts w:ascii="Verdana" w:hAnsi="Verdana"/>
          <w:sz w:val="23"/>
          <w:szCs w:val="23"/>
        </w:rPr>
        <w:t>imprese</w:t>
      </w:r>
      <w:r>
        <w:rPr>
          <w:rFonts w:ascii="Verdana" w:hAnsi="Verdana"/>
          <w:sz w:val="23"/>
          <w:szCs w:val="23"/>
        </w:rPr>
        <w:t xml:space="preserve">: le </w:t>
      </w:r>
      <w:r w:rsidRPr="00CB6885">
        <w:rPr>
          <w:rFonts w:ascii="Verdana" w:hAnsi="Verdana"/>
          <w:sz w:val="23"/>
          <w:szCs w:val="23"/>
        </w:rPr>
        <w:t>più colpit</w:t>
      </w:r>
      <w:r>
        <w:rPr>
          <w:rFonts w:ascii="Verdana" w:hAnsi="Verdana"/>
          <w:sz w:val="23"/>
          <w:szCs w:val="23"/>
        </w:rPr>
        <w:t>e</w:t>
      </w:r>
      <w:r w:rsidRPr="00CB6885">
        <w:rPr>
          <w:rFonts w:ascii="Verdana" w:hAnsi="Verdana"/>
          <w:sz w:val="23"/>
          <w:szCs w:val="23"/>
        </w:rPr>
        <w:t xml:space="preserve"> dalla pandemia</w:t>
      </w:r>
      <w:r>
        <w:rPr>
          <w:rFonts w:ascii="Verdana" w:hAnsi="Verdana"/>
          <w:sz w:val="23"/>
          <w:szCs w:val="23"/>
        </w:rPr>
        <w:t xml:space="preserve"> e che ora rischiano in tantissime la chiusura anche a causa dei</w:t>
      </w:r>
      <w:r w:rsidRPr="00CB6885">
        <w:rPr>
          <w:rFonts w:ascii="Verdana" w:hAnsi="Verdana"/>
          <w:sz w:val="23"/>
          <w:szCs w:val="23"/>
        </w:rPr>
        <w:t xml:space="preserve"> rincari energetici</w:t>
      </w:r>
      <w:r>
        <w:rPr>
          <w:rFonts w:ascii="Verdana" w:hAnsi="Verdana"/>
          <w:sz w:val="23"/>
          <w:szCs w:val="23"/>
        </w:rPr>
        <w:t>.</w:t>
      </w:r>
      <w:r w:rsidRPr="00CB6885">
        <w:rPr>
          <w:rFonts w:ascii="Verdana" w:hAnsi="Verdana"/>
          <w:sz w:val="23"/>
          <w:szCs w:val="23"/>
        </w:rPr>
        <w:t xml:space="preserve"> </w:t>
      </w:r>
      <w:proofErr w:type="gramStart"/>
      <w:r>
        <w:rPr>
          <w:rFonts w:ascii="Verdana" w:hAnsi="Verdana"/>
          <w:sz w:val="23"/>
          <w:szCs w:val="23"/>
        </w:rPr>
        <w:t>E’</w:t>
      </w:r>
      <w:proofErr w:type="gramEnd"/>
      <w:r>
        <w:rPr>
          <w:rFonts w:ascii="Verdana" w:hAnsi="Verdana"/>
          <w:sz w:val="23"/>
          <w:szCs w:val="23"/>
        </w:rPr>
        <w:t xml:space="preserve"> quanto emerge da uno studio di</w:t>
      </w:r>
      <w:r w:rsidRPr="00CB6885">
        <w:rPr>
          <w:rFonts w:ascii="Verdana" w:hAnsi="Verdana"/>
          <w:sz w:val="23"/>
          <w:szCs w:val="23"/>
        </w:rPr>
        <w:t xml:space="preserve"> Confcommercio, </w:t>
      </w:r>
      <w:r>
        <w:rPr>
          <w:rFonts w:ascii="Verdana" w:hAnsi="Verdana"/>
          <w:sz w:val="23"/>
          <w:szCs w:val="23"/>
        </w:rPr>
        <w:t xml:space="preserve">svolto </w:t>
      </w:r>
      <w:r w:rsidRPr="00CB6885">
        <w:rPr>
          <w:rFonts w:ascii="Verdana" w:hAnsi="Verdana"/>
          <w:sz w:val="23"/>
          <w:szCs w:val="23"/>
        </w:rPr>
        <w:t>in collaborazione con Nomisma Energia, sugli effetti del caro-energia sulle imprese del terziario.</w:t>
      </w:r>
    </w:p>
    <w:p w:rsidR="00477EA6" w:rsidRPr="00CB6885" w:rsidRDefault="00477EA6" w:rsidP="00477EA6">
      <w:pPr>
        <w:jc w:val="both"/>
        <w:rPr>
          <w:rFonts w:ascii="Verdana" w:hAnsi="Verdana"/>
          <w:sz w:val="23"/>
          <w:szCs w:val="23"/>
        </w:rPr>
      </w:pPr>
    </w:p>
    <w:p w:rsidR="00477EA6" w:rsidRPr="00CB6885" w:rsidRDefault="00477EA6" w:rsidP="00477EA6">
      <w:pPr>
        <w:jc w:val="both"/>
        <w:rPr>
          <w:rFonts w:ascii="Verdana" w:hAnsi="Verdana"/>
          <w:sz w:val="23"/>
          <w:szCs w:val="23"/>
        </w:rPr>
      </w:pPr>
      <w:r w:rsidRPr="00CB6885">
        <w:rPr>
          <w:rFonts w:ascii="Verdana" w:hAnsi="Verdana"/>
          <w:sz w:val="23"/>
          <w:szCs w:val="23"/>
        </w:rPr>
        <w:t>In particolare – prosegue la nota - per l’elettricità, le imprese di questi settori, con un consumo complessivo di 22 miliardi di chilowattora, con le nuove tariffe in vigore dal 1° gennaio, vedranno aumentare la bolletta da 7,4 miliardi</w:t>
      </w:r>
      <w:r>
        <w:rPr>
          <w:rFonts w:ascii="Verdana" w:hAnsi="Verdana"/>
          <w:sz w:val="23"/>
          <w:szCs w:val="23"/>
        </w:rPr>
        <w:t xml:space="preserve"> di € nel 2021 a 13,9 nel 2022. </w:t>
      </w:r>
      <w:r w:rsidRPr="00CB6885">
        <w:rPr>
          <w:rFonts w:ascii="Verdana" w:hAnsi="Verdana"/>
          <w:sz w:val="23"/>
          <w:szCs w:val="23"/>
        </w:rPr>
        <w:t xml:space="preserve">A questa spesa si deve poi aggiungere quella, altrettanto pesante, per il gas che, con un consumo complessivo di 5 miliardi di metri cubi, vedrà la bolletta </w:t>
      </w:r>
      <w:r>
        <w:rPr>
          <w:rFonts w:ascii="Verdana" w:hAnsi="Verdana"/>
          <w:sz w:val="23"/>
          <w:szCs w:val="23"/>
        </w:rPr>
        <w:t>aumentare</w:t>
      </w:r>
      <w:r w:rsidRPr="00CB6885">
        <w:rPr>
          <w:rFonts w:ascii="Verdana" w:hAnsi="Verdana"/>
          <w:sz w:val="23"/>
          <w:szCs w:val="23"/>
        </w:rPr>
        <w:t xml:space="preserve"> da 3,9 miliardi € nel 2021 a 6 miliardi nel 2022. </w:t>
      </w:r>
    </w:p>
    <w:p w:rsidR="00477EA6" w:rsidRDefault="00477EA6" w:rsidP="00477EA6">
      <w:pPr>
        <w:jc w:val="both"/>
        <w:rPr>
          <w:rFonts w:ascii="Verdana" w:hAnsi="Verdana"/>
          <w:sz w:val="22"/>
          <w:szCs w:val="22"/>
        </w:rPr>
      </w:pPr>
    </w:p>
    <w:p w:rsidR="00477EA6" w:rsidRDefault="00477EA6" w:rsidP="00477EA6">
      <w:pPr>
        <w:jc w:val="both"/>
        <w:rPr>
          <w:rFonts w:ascii="Verdana" w:hAnsi="Verdana"/>
          <w:sz w:val="22"/>
          <w:szCs w:val="22"/>
        </w:rPr>
      </w:pPr>
    </w:p>
    <w:p w:rsidR="00477EA6" w:rsidRDefault="00477EA6" w:rsidP="00477EA6">
      <w:pPr>
        <w:jc w:val="both"/>
        <w:rPr>
          <w:rFonts w:ascii="Verdana" w:hAnsi="Verdana"/>
          <w:b/>
          <w:sz w:val="22"/>
          <w:szCs w:val="22"/>
        </w:rPr>
      </w:pPr>
      <w:proofErr w:type="spellStart"/>
      <w:r w:rsidRPr="00F27EDC">
        <w:rPr>
          <w:rFonts w:ascii="Verdana" w:hAnsi="Verdana"/>
          <w:b/>
          <w:sz w:val="22"/>
          <w:szCs w:val="22"/>
        </w:rPr>
        <w:t>Tab</w:t>
      </w:r>
      <w:proofErr w:type="spellEnd"/>
      <w:r w:rsidRPr="00F27EDC">
        <w:rPr>
          <w:rFonts w:ascii="Verdana" w:hAnsi="Verdana"/>
          <w:b/>
          <w:sz w:val="22"/>
          <w:szCs w:val="22"/>
        </w:rPr>
        <w:t>. 1 – Spesa energia settore commercio, alloggi, ristorazione (Mld €)</w:t>
      </w:r>
    </w:p>
    <w:p w:rsidR="00477EA6" w:rsidRPr="00F27EDC" w:rsidRDefault="00477EA6" w:rsidP="00477EA6">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7"/>
        <w:gridCol w:w="1477"/>
        <w:gridCol w:w="1478"/>
        <w:gridCol w:w="1478"/>
        <w:gridCol w:w="1478"/>
        <w:gridCol w:w="1478"/>
      </w:tblGrid>
      <w:tr w:rsidR="00477EA6" w:rsidRPr="00A77BD2" w:rsidTr="00B95AF1">
        <w:tc>
          <w:tcPr>
            <w:tcW w:w="1477" w:type="dxa"/>
            <w:tcBorders>
              <w:top w:val="single" w:sz="4" w:space="0" w:color="auto"/>
              <w:bottom w:val="single" w:sz="4" w:space="0" w:color="auto"/>
            </w:tcBorders>
            <w:shd w:val="clear" w:color="auto" w:fill="auto"/>
          </w:tcPr>
          <w:p w:rsidR="00477EA6" w:rsidRPr="00A77BD2" w:rsidRDefault="00477EA6" w:rsidP="00B95AF1">
            <w:pPr>
              <w:jc w:val="right"/>
              <w:rPr>
                <w:rFonts w:ascii="Verdana" w:hAnsi="Verdana"/>
                <w:b/>
                <w:sz w:val="22"/>
                <w:szCs w:val="22"/>
              </w:rPr>
            </w:pPr>
          </w:p>
        </w:tc>
        <w:tc>
          <w:tcPr>
            <w:tcW w:w="1477" w:type="dxa"/>
            <w:tcBorders>
              <w:top w:val="single" w:sz="4" w:space="0" w:color="auto"/>
              <w:bottom w:val="single" w:sz="4" w:space="0" w:color="auto"/>
              <w:right w:val="single" w:sz="4" w:space="0" w:color="auto"/>
            </w:tcBorders>
            <w:shd w:val="clear" w:color="auto" w:fill="auto"/>
          </w:tcPr>
          <w:p w:rsidR="00477EA6" w:rsidRPr="00A77BD2" w:rsidRDefault="00477EA6" w:rsidP="00B95AF1">
            <w:pPr>
              <w:jc w:val="right"/>
              <w:rPr>
                <w:rFonts w:ascii="Verdana" w:hAnsi="Verdana"/>
                <w:b/>
                <w:sz w:val="22"/>
                <w:szCs w:val="22"/>
              </w:rPr>
            </w:pPr>
          </w:p>
        </w:tc>
        <w:tc>
          <w:tcPr>
            <w:tcW w:w="1478" w:type="dxa"/>
            <w:tcBorders>
              <w:top w:val="single" w:sz="4" w:space="0" w:color="auto"/>
              <w:left w:val="single" w:sz="4" w:space="0" w:color="auto"/>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2019</w:t>
            </w:r>
          </w:p>
        </w:tc>
        <w:tc>
          <w:tcPr>
            <w:tcW w:w="1478" w:type="dxa"/>
            <w:tcBorders>
              <w:top w:val="single" w:sz="4" w:space="0" w:color="auto"/>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2020</w:t>
            </w:r>
          </w:p>
        </w:tc>
        <w:tc>
          <w:tcPr>
            <w:tcW w:w="1478" w:type="dxa"/>
            <w:tcBorders>
              <w:top w:val="single" w:sz="4" w:space="0" w:color="auto"/>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2021</w:t>
            </w:r>
          </w:p>
        </w:tc>
        <w:tc>
          <w:tcPr>
            <w:tcW w:w="1478" w:type="dxa"/>
            <w:tcBorders>
              <w:top w:val="single" w:sz="4" w:space="0" w:color="auto"/>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2022</w:t>
            </w:r>
          </w:p>
        </w:tc>
      </w:tr>
      <w:tr w:rsidR="00477EA6" w:rsidRPr="00A77BD2" w:rsidTr="00B95AF1">
        <w:tc>
          <w:tcPr>
            <w:tcW w:w="1477" w:type="dxa"/>
            <w:tcBorders>
              <w:top w:val="single" w:sz="4" w:space="0" w:color="auto"/>
            </w:tcBorders>
            <w:shd w:val="clear" w:color="auto" w:fill="auto"/>
          </w:tcPr>
          <w:p w:rsidR="00477EA6" w:rsidRPr="00A77BD2" w:rsidRDefault="00477EA6" w:rsidP="00B95AF1">
            <w:pPr>
              <w:jc w:val="both"/>
              <w:rPr>
                <w:rFonts w:ascii="Verdana" w:hAnsi="Verdana"/>
                <w:sz w:val="22"/>
                <w:szCs w:val="22"/>
              </w:rPr>
            </w:pPr>
            <w:r w:rsidRPr="00A77BD2">
              <w:rPr>
                <w:rFonts w:ascii="Verdana" w:hAnsi="Verdana"/>
                <w:sz w:val="22"/>
                <w:szCs w:val="22"/>
              </w:rPr>
              <w:t>Elettricità</w:t>
            </w:r>
          </w:p>
        </w:tc>
        <w:tc>
          <w:tcPr>
            <w:tcW w:w="1477" w:type="dxa"/>
            <w:tcBorders>
              <w:top w:val="single" w:sz="4" w:space="0" w:color="auto"/>
              <w:right w:val="single" w:sz="4" w:space="0" w:color="auto"/>
            </w:tcBorders>
            <w:shd w:val="clear" w:color="auto" w:fill="auto"/>
          </w:tcPr>
          <w:p w:rsidR="00477EA6" w:rsidRPr="00A77BD2" w:rsidRDefault="00477EA6" w:rsidP="00B95AF1">
            <w:pPr>
              <w:jc w:val="both"/>
              <w:rPr>
                <w:rFonts w:ascii="Verdana" w:hAnsi="Verdana"/>
                <w:sz w:val="22"/>
                <w:szCs w:val="22"/>
              </w:rPr>
            </w:pPr>
          </w:p>
        </w:tc>
        <w:tc>
          <w:tcPr>
            <w:tcW w:w="1478" w:type="dxa"/>
            <w:tcBorders>
              <w:top w:val="single" w:sz="4" w:space="0" w:color="auto"/>
              <w:left w:val="single" w:sz="4" w:space="0" w:color="auto"/>
            </w:tcBorders>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6,3</w:t>
            </w:r>
          </w:p>
        </w:tc>
        <w:tc>
          <w:tcPr>
            <w:tcW w:w="1478" w:type="dxa"/>
            <w:tcBorders>
              <w:top w:val="single" w:sz="4" w:space="0" w:color="auto"/>
            </w:tcBorders>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6,0</w:t>
            </w:r>
          </w:p>
        </w:tc>
        <w:tc>
          <w:tcPr>
            <w:tcW w:w="1478" w:type="dxa"/>
            <w:tcBorders>
              <w:top w:val="single" w:sz="4" w:space="0" w:color="auto"/>
            </w:tcBorders>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7,4</w:t>
            </w:r>
          </w:p>
        </w:tc>
        <w:tc>
          <w:tcPr>
            <w:tcW w:w="1478" w:type="dxa"/>
            <w:tcBorders>
              <w:top w:val="single" w:sz="4" w:space="0" w:color="auto"/>
            </w:tcBorders>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13,9</w:t>
            </w:r>
          </w:p>
        </w:tc>
      </w:tr>
      <w:tr w:rsidR="00477EA6" w:rsidRPr="00A77BD2" w:rsidTr="00B95AF1">
        <w:tc>
          <w:tcPr>
            <w:tcW w:w="1477" w:type="dxa"/>
            <w:shd w:val="clear" w:color="auto" w:fill="auto"/>
          </w:tcPr>
          <w:p w:rsidR="00477EA6" w:rsidRPr="00A77BD2" w:rsidRDefault="00477EA6" w:rsidP="00B95AF1">
            <w:pPr>
              <w:jc w:val="both"/>
              <w:rPr>
                <w:rFonts w:ascii="Verdana" w:hAnsi="Verdana"/>
                <w:sz w:val="22"/>
                <w:szCs w:val="22"/>
              </w:rPr>
            </w:pPr>
            <w:r w:rsidRPr="00A77BD2">
              <w:rPr>
                <w:rFonts w:ascii="Verdana" w:hAnsi="Verdana"/>
                <w:sz w:val="22"/>
                <w:szCs w:val="22"/>
              </w:rPr>
              <w:t>Gas</w:t>
            </w:r>
          </w:p>
        </w:tc>
        <w:tc>
          <w:tcPr>
            <w:tcW w:w="1477" w:type="dxa"/>
            <w:tcBorders>
              <w:right w:val="single" w:sz="4" w:space="0" w:color="auto"/>
            </w:tcBorders>
            <w:shd w:val="clear" w:color="auto" w:fill="auto"/>
          </w:tcPr>
          <w:p w:rsidR="00477EA6" w:rsidRPr="00A77BD2" w:rsidRDefault="00477EA6" w:rsidP="00B95AF1">
            <w:pPr>
              <w:jc w:val="both"/>
              <w:rPr>
                <w:rFonts w:ascii="Verdana" w:hAnsi="Verdana"/>
                <w:sz w:val="22"/>
                <w:szCs w:val="22"/>
              </w:rPr>
            </w:pPr>
          </w:p>
        </w:tc>
        <w:tc>
          <w:tcPr>
            <w:tcW w:w="1478" w:type="dxa"/>
            <w:tcBorders>
              <w:left w:val="single" w:sz="4" w:space="0" w:color="auto"/>
            </w:tcBorders>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4,2</w:t>
            </w:r>
          </w:p>
        </w:tc>
        <w:tc>
          <w:tcPr>
            <w:tcW w:w="1478" w:type="dxa"/>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2,9</w:t>
            </w:r>
          </w:p>
        </w:tc>
        <w:tc>
          <w:tcPr>
            <w:tcW w:w="1478" w:type="dxa"/>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3,9</w:t>
            </w:r>
          </w:p>
        </w:tc>
        <w:tc>
          <w:tcPr>
            <w:tcW w:w="1478" w:type="dxa"/>
            <w:shd w:val="clear" w:color="auto" w:fill="auto"/>
          </w:tcPr>
          <w:p w:rsidR="00477EA6" w:rsidRPr="00A77BD2" w:rsidRDefault="00477EA6" w:rsidP="00B95AF1">
            <w:pPr>
              <w:jc w:val="right"/>
              <w:rPr>
                <w:rFonts w:ascii="Verdana" w:hAnsi="Verdana"/>
                <w:sz w:val="22"/>
                <w:szCs w:val="22"/>
              </w:rPr>
            </w:pPr>
            <w:r w:rsidRPr="00A77BD2">
              <w:rPr>
                <w:rFonts w:ascii="Verdana" w:hAnsi="Verdana"/>
                <w:sz w:val="22"/>
                <w:szCs w:val="22"/>
              </w:rPr>
              <w:t>6,0</w:t>
            </w:r>
          </w:p>
        </w:tc>
      </w:tr>
      <w:tr w:rsidR="00477EA6" w:rsidRPr="00A77BD2" w:rsidTr="00B95AF1">
        <w:tc>
          <w:tcPr>
            <w:tcW w:w="1477" w:type="dxa"/>
            <w:shd w:val="clear" w:color="auto" w:fill="auto"/>
          </w:tcPr>
          <w:p w:rsidR="00477EA6" w:rsidRPr="00A77BD2" w:rsidRDefault="00477EA6" w:rsidP="00B95AF1">
            <w:pPr>
              <w:jc w:val="both"/>
              <w:rPr>
                <w:rFonts w:ascii="Verdana" w:hAnsi="Verdana"/>
                <w:b/>
                <w:sz w:val="22"/>
                <w:szCs w:val="22"/>
              </w:rPr>
            </w:pPr>
            <w:r w:rsidRPr="00A77BD2">
              <w:rPr>
                <w:rFonts w:ascii="Verdana" w:hAnsi="Verdana"/>
                <w:b/>
                <w:sz w:val="22"/>
                <w:szCs w:val="22"/>
              </w:rPr>
              <w:t>Totale</w:t>
            </w:r>
          </w:p>
        </w:tc>
        <w:tc>
          <w:tcPr>
            <w:tcW w:w="1477" w:type="dxa"/>
            <w:tcBorders>
              <w:right w:val="single" w:sz="4" w:space="0" w:color="auto"/>
            </w:tcBorders>
            <w:shd w:val="clear" w:color="auto" w:fill="auto"/>
          </w:tcPr>
          <w:p w:rsidR="00477EA6" w:rsidRPr="00A77BD2" w:rsidRDefault="00477EA6" w:rsidP="00B95AF1">
            <w:pPr>
              <w:jc w:val="both"/>
              <w:rPr>
                <w:rFonts w:ascii="Verdana" w:hAnsi="Verdana"/>
                <w:b/>
                <w:sz w:val="22"/>
                <w:szCs w:val="22"/>
              </w:rPr>
            </w:pPr>
          </w:p>
        </w:tc>
        <w:tc>
          <w:tcPr>
            <w:tcW w:w="1478" w:type="dxa"/>
            <w:tcBorders>
              <w:left w:val="single" w:sz="4" w:space="0" w:color="auto"/>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10,5</w:t>
            </w:r>
          </w:p>
        </w:tc>
        <w:tc>
          <w:tcPr>
            <w:tcW w:w="1478" w:type="dxa"/>
            <w:tcBorders>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8,9</w:t>
            </w:r>
          </w:p>
        </w:tc>
        <w:tc>
          <w:tcPr>
            <w:tcW w:w="1478" w:type="dxa"/>
            <w:tcBorders>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11,3</w:t>
            </w:r>
          </w:p>
        </w:tc>
        <w:tc>
          <w:tcPr>
            <w:tcW w:w="1478" w:type="dxa"/>
            <w:tcBorders>
              <w:bottom w:val="single" w:sz="4" w:space="0" w:color="auto"/>
            </w:tcBorders>
            <w:shd w:val="clear" w:color="auto" w:fill="auto"/>
          </w:tcPr>
          <w:p w:rsidR="00477EA6" w:rsidRPr="00A77BD2" w:rsidRDefault="00477EA6" w:rsidP="00B95AF1">
            <w:pPr>
              <w:jc w:val="right"/>
              <w:rPr>
                <w:rFonts w:ascii="Verdana" w:hAnsi="Verdana"/>
                <w:b/>
                <w:sz w:val="22"/>
                <w:szCs w:val="22"/>
              </w:rPr>
            </w:pPr>
            <w:r w:rsidRPr="00A77BD2">
              <w:rPr>
                <w:rFonts w:ascii="Verdana" w:hAnsi="Verdana"/>
                <w:b/>
                <w:sz w:val="22"/>
                <w:szCs w:val="22"/>
              </w:rPr>
              <w:t>19,9</w:t>
            </w:r>
          </w:p>
        </w:tc>
      </w:tr>
    </w:tbl>
    <w:p w:rsidR="00477EA6" w:rsidRPr="00F63685" w:rsidRDefault="00477EA6" w:rsidP="00477EA6">
      <w:pPr>
        <w:jc w:val="both"/>
        <w:rPr>
          <w:rFonts w:ascii="Verdana" w:hAnsi="Verdana"/>
          <w:i/>
          <w:sz w:val="20"/>
        </w:rPr>
      </w:pPr>
      <w:r w:rsidRPr="00F63685">
        <w:rPr>
          <w:rFonts w:ascii="Verdana" w:hAnsi="Verdana"/>
          <w:i/>
          <w:sz w:val="20"/>
        </w:rPr>
        <w:t>Fonte: Confcommercio</w:t>
      </w:r>
      <w:r>
        <w:rPr>
          <w:rFonts w:ascii="Verdana" w:hAnsi="Verdana"/>
          <w:i/>
          <w:sz w:val="20"/>
        </w:rPr>
        <w:t>-Nomisma Energia</w:t>
      </w:r>
    </w:p>
    <w:p w:rsidR="00477EA6" w:rsidRDefault="00477EA6" w:rsidP="00477EA6">
      <w:pPr>
        <w:jc w:val="both"/>
        <w:rPr>
          <w:rFonts w:ascii="Verdana" w:hAnsi="Verdana"/>
          <w:sz w:val="20"/>
        </w:rPr>
      </w:pPr>
    </w:p>
    <w:p w:rsidR="00477EA6" w:rsidRPr="00CB6885" w:rsidRDefault="00477EA6" w:rsidP="00477EA6">
      <w:pPr>
        <w:jc w:val="both"/>
        <w:rPr>
          <w:rFonts w:ascii="Verdana" w:hAnsi="Verdana"/>
          <w:sz w:val="20"/>
        </w:rPr>
      </w:pPr>
    </w:p>
    <w:p w:rsidR="00477EA6" w:rsidRDefault="00477EA6" w:rsidP="00477EA6">
      <w:pPr>
        <w:jc w:val="both"/>
        <w:rPr>
          <w:rFonts w:ascii="Verdana" w:hAnsi="Verdana"/>
          <w:sz w:val="23"/>
          <w:szCs w:val="23"/>
        </w:rPr>
      </w:pPr>
      <w:r w:rsidRPr="00CB6885">
        <w:rPr>
          <w:rFonts w:ascii="Verdana" w:hAnsi="Verdana"/>
          <w:sz w:val="23"/>
          <w:szCs w:val="23"/>
        </w:rPr>
        <w:t xml:space="preserve">Nel dettaglio dei singoli settori, </w:t>
      </w:r>
      <w:r>
        <w:rPr>
          <w:rFonts w:ascii="Verdana" w:hAnsi="Verdana"/>
          <w:sz w:val="23"/>
          <w:szCs w:val="23"/>
        </w:rPr>
        <w:t xml:space="preserve">gli aumenti medi, su base annua, sono i seguenti: per </w:t>
      </w:r>
      <w:r w:rsidRPr="00CB6885">
        <w:rPr>
          <w:rFonts w:ascii="Verdana" w:hAnsi="Verdana"/>
          <w:sz w:val="23"/>
          <w:szCs w:val="23"/>
        </w:rPr>
        <w:t xml:space="preserve">gli oltre 30 mila </w:t>
      </w:r>
      <w:r w:rsidRPr="00CB6885">
        <w:rPr>
          <w:rFonts w:ascii="Verdana" w:hAnsi="Verdana"/>
          <w:b/>
          <w:sz w:val="23"/>
          <w:szCs w:val="23"/>
        </w:rPr>
        <w:t>alberghi</w:t>
      </w:r>
      <w:r w:rsidRPr="00623AE5">
        <w:rPr>
          <w:rFonts w:ascii="Verdana" w:hAnsi="Verdana"/>
          <w:sz w:val="23"/>
          <w:szCs w:val="23"/>
        </w:rPr>
        <w:t xml:space="preserve"> italiani</w:t>
      </w:r>
      <w:r w:rsidRPr="00CB6885">
        <w:rPr>
          <w:rFonts w:ascii="Verdana" w:hAnsi="Verdana"/>
          <w:sz w:val="23"/>
          <w:szCs w:val="23"/>
        </w:rPr>
        <w:t xml:space="preserve"> </w:t>
      </w:r>
      <w:r>
        <w:rPr>
          <w:rFonts w:ascii="Verdana" w:hAnsi="Verdana"/>
          <w:sz w:val="23"/>
          <w:szCs w:val="23"/>
        </w:rPr>
        <w:t xml:space="preserve">la spesa per la </w:t>
      </w:r>
      <w:r w:rsidRPr="00CB6885">
        <w:rPr>
          <w:rFonts w:ascii="Verdana" w:hAnsi="Verdana"/>
          <w:sz w:val="23"/>
          <w:szCs w:val="23"/>
        </w:rPr>
        <w:t>bolletta elettrica passerà da 49 mila € a 79 mila €, un aumento del 6</w:t>
      </w:r>
      <w:r>
        <w:rPr>
          <w:rFonts w:ascii="Verdana" w:hAnsi="Verdana"/>
          <w:sz w:val="23"/>
          <w:szCs w:val="23"/>
        </w:rPr>
        <w:t>1</w:t>
      </w:r>
      <w:r w:rsidRPr="00CB6885">
        <w:rPr>
          <w:rFonts w:ascii="Verdana" w:hAnsi="Verdana"/>
          <w:sz w:val="23"/>
          <w:szCs w:val="23"/>
        </w:rPr>
        <w:t>% solo in parte mitigato dalle offerte a prezzo fisso che qualcuno è riuscito ad ottenere sul mercato libero.</w:t>
      </w:r>
    </w:p>
    <w:p w:rsidR="00477EA6" w:rsidRDefault="00477EA6" w:rsidP="00477EA6">
      <w:pPr>
        <w:jc w:val="both"/>
        <w:rPr>
          <w:rFonts w:ascii="Verdana" w:hAnsi="Verdana"/>
          <w:sz w:val="23"/>
          <w:szCs w:val="23"/>
        </w:rPr>
      </w:pPr>
    </w:p>
    <w:p w:rsidR="00477EA6" w:rsidRPr="00CB6885" w:rsidRDefault="00477EA6" w:rsidP="00477EA6">
      <w:pPr>
        <w:jc w:val="both"/>
        <w:rPr>
          <w:rFonts w:ascii="Verdana" w:hAnsi="Verdana"/>
          <w:sz w:val="23"/>
          <w:szCs w:val="23"/>
        </w:rPr>
      </w:pPr>
      <w:r w:rsidRPr="00CB6885">
        <w:rPr>
          <w:rFonts w:ascii="Verdana" w:hAnsi="Verdana"/>
          <w:sz w:val="23"/>
          <w:szCs w:val="23"/>
        </w:rPr>
        <w:t xml:space="preserve">A questo poi si aggiunge </w:t>
      </w:r>
      <w:r>
        <w:rPr>
          <w:rFonts w:ascii="Verdana" w:hAnsi="Verdana"/>
          <w:sz w:val="23"/>
          <w:szCs w:val="23"/>
        </w:rPr>
        <w:t xml:space="preserve">la bolletta del gas </w:t>
      </w:r>
      <w:r w:rsidRPr="00CB6885">
        <w:rPr>
          <w:rFonts w:ascii="Verdana" w:hAnsi="Verdana"/>
          <w:sz w:val="23"/>
          <w:szCs w:val="23"/>
        </w:rPr>
        <w:t xml:space="preserve">che passa da 10 mila a quasi 20 mila €. </w:t>
      </w:r>
      <w:r>
        <w:rPr>
          <w:rFonts w:ascii="Verdana" w:hAnsi="Verdana"/>
          <w:sz w:val="23"/>
          <w:szCs w:val="23"/>
        </w:rPr>
        <w:t xml:space="preserve">Per un </w:t>
      </w:r>
      <w:r w:rsidRPr="00CB6885">
        <w:rPr>
          <w:rFonts w:ascii="Verdana" w:hAnsi="Verdana"/>
          <w:sz w:val="23"/>
          <w:szCs w:val="23"/>
        </w:rPr>
        <w:t>albergo tipo</w:t>
      </w:r>
      <w:r>
        <w:rPr>
          <w:rFonts w:ascii="Verdana" w:hAnsi="Verdana"/>
          <w:sz w:val="23"/>
          <w:szCs w:val="23"/>
        </w:rPr>
        <w:t xml:space="preserve"> (</w:t>
      </w:r>
      <w:r w:rsidRPr="00CB6885">
        <w:rPr>
          <w:rFonts w:ascii="Verdana" w:hAnsi="Verdana"/>
          <w:sz w:val="23"/>
          <w:szCs w:val="23"/>
        </w:rPr>
        <w:t>con consumi di 260 mila chilowattora/anno di elettricità e 18 mila metri cubi di gas</w:t>
      </w:r>
      <w:r>
        <w:rPr>
          <w:rFonts w:ascii="Verdana" w:hAnsi="Verdana"/>
          <w:sz w:val="23"/>
          <w:szCs w:val="23"/>
        </w:rPr>
        <w:t>)</w:t>
      </w:r>
      <w:r w:rsidRPr="00CB6885">
        <w:rPr>
          <w:rFonts w:ascii="Verdana" w:hAnsi="Verdana"/>
          <w:sz w:val="23"/>
          <w:szCs w:val="23"/>
        </w:rPr>
        <w:t xml:space="preserve">, </w:t>
      </w:r>
      <w:r>
        <w:rPr>
          <w:rFonts w:ascii="Verdana" w:hAnsi="Verdana"/>
          <w:sz w:val="23"/>
          <w:szCs w:val="23"/>
        </w:rPr>
        <w:t xml:space="preserve">la spesa annua </w:t>
      </w:r>
      <w:r w:rsidRPr="00CB6885">
        <w:rPr>
          <w:rFonts w:ascii="Verdana" w:hAnsi="Verdana"/>
          <w:sz w:val="23"/>
          <w:szCs w:val="23"/>
        </w:rPr>
        <w:t xml:space="preserve">passa da 59 mila € a 98 </w:t>
      </w:r>
      <w:r>
        <w:rPr>
          <w:rFonts w:ascii="Verdana" w:hAnsi="Verdana"/>
          <w:sz w:val="23"/>
          <w:szCs w:val="23"/>
        </w:rPr>
        <w:t>mila €.</w:t>
      </w:r>
    </w:p>
    <w:p w:rsidR="00477EA6" w:rsidRPr="00CB6885" w:rsidRDefault="00477EA6" w:rsidP="00477EA6">
      <w:pPr>
        <w:jc w:val="both"/>
        <w:rPr>
          <w:rFonts w:ascii="Verdana" w:hAnsi="Verdana"/>
          <w:sz w:val="23"/>
          <w:szCs w:val="23"/>
        </w:rPr>
      </w:pPr>
      <w:r>
        <w:rPr>
          <w:rFonts w:ascii="Verdana" w:hAnsi="Verdana"/>
          <w:sz w:val="23"/>
          <w:szCs w:val="23"/>
        </w:rPr>
        <w:t xml:space="preserve">Pesanti aumenti </w:t>
      </w:r>
      <w:r w:rsidRPr="00CB6885">
        <w:rPr>
          <w:rFonts w:ascii="Verdana" w:hAnsi="Verdana"/>
          <w:sz w:val="23"/>
          <w:szCs w:val="23"/>
        </w:rPr>
        <w:t>si registrano anche per i</w:t>
      </w:r>
      <w:r>
        <w:rPr>
          <w:rFonts w:ascii="Verdana" w:hAnsi="Verdana"/>
          <w:sz w:val="23"/>
          <w:szCs w:val="23"/>
        </w:rPr>
        <w:t xml:space="preserve"> 140 mila</w:t>
      </w:r>
      <w:r w:rsidRPr="00CB6885">
        <w:rPr>
          <w:rFonts w:ascii="Verdana" w:hAnsi="Verdana"/>
          <w:sz w:val="23"/>
          <w:szCs w:val="23"/>
        </w:rPr>
        <w:t xml:space="preserve"> </w:t>
      </w:r>
      <w:r w:rsidRPr="00CB6885">
        <w:rPr>
          <w:rFonts w:ascii="Verdana" w:hAnsi="Verdana"/>
          <w:b/>
          <w:sz w:val="23"/>
          <w:szCs w:val="23"/>
        </w:rPr>
        <w:t>bar</w:t>
      </w:r>
      <w:r>
        <w:rPr>
          <w:rFonts w:ascii="Verdana" w:hAnsi="Verdana"/>
          <w:b/>
          <w:sz w:val="23"/>
          <w:szCs w:val="23"/>
        </w:rPr>
        <w:t xml:space="preserve"> d’Italia</w:t>
      </w:r>
      <w:r w:rsidRPr="00CB6885">
        <w:rPr>
          <w:rFonts w:ascii="Verdana" w:hAnsi="Verdana"/>
          <w:sz w:val="23"/>
          <w:szCs w:val="23"/>
        </w:rPr>
        <w:t>, la cui bolletta elettrica pass</w:t>
      </w:r>
      <w:r>
        <w:rPr>
          <w:rFonts w:ascii="Verdana" w:hAnsi="Verdana"/>
          <w:sz w:val="23"/>
          <w:szCs w:val="23"/>
        </w:rPr>
        <w:t>erà</w:t>
      </w:r>
      <w:r w:rsidRPr="00CB6885">
        <w:rPr>
          <w:rFonts w:ascii="Verdana" w:hAnsi="Verdana"/>
          <w:sz w:val="23"/>
          <w:szCs w:val="23"/>
        </w:rPr>
        <w:t xml:space="preserve"> </w:t>
      </w:r>
      <w:r>
        <w:rPr>
          <w:rFonts w:ascii="Verdana" w:hAnsi="Verdana"/>
          <w:sz w:val="23"/>
          <w:szCs w:val="23"/>
        </w:rPr>
        <w:t xml:space="preserve">in media </w:t>
      </w:r>
      <w:r w:rsidRPr="00CB6885">
        <w:rPr>
          <w:rFonts w:ascii="Verdana" w:hAnsi="Verdana"/>
          <w:sz w:val="23"/>
          <w:szCs w:val="23"/>
        </w:rPr>
        <w:t>da 4 mila a 7 mila €</w:t>
      </w:r>
      <w:r>
        <w:rPr>
          <w:rFonts w:ascii="Verdana" w:hAnsi="Verdana"/>
          <w:sz w:val="23"/>
          <w:szCs w:val="23"/>
        </w:rPr>
        <w:t xml:space="preserve"> per salire, con il costo del</w:t>
      </w:r>
      <w:r w:rsidRPr="00CB6885">
        <w:rPr>
          <w:rFonts w:ascii="Verdana" w:hAnsi="Verdana"/>
          <w:sz w:val="23"/>
          <w:szCs w:val="23"/>
        </w:rPr>
        <w:t xml:space="preserve"> gas</w:t>
      </w:r>
      <w:r>
        <w:rPr>
          <w:rFonts w:ascii="Verdana" w:hAnsi="Verdana"/>
          <w:sz w:val="23"/>
          <w:szCs w:val="23"/>
        </w:rPr>
        <w:t>,</w:t>
      </w:r>
      <w:r w:rsidRPr="00CB6885">
        <w:rPr>
          <w:rFonts w:ascii="Verdana" w:hAnsi="Verdana"/>
          <w:sz w:val="23"/>
          <w:szCs w:val="23"/>
        </w:rPr>
        <w:t xml:space="preserve"> da 5 </w:t>
      </w:r>
      <w:r w:rsidRPr="00CB6885">
        <w:rPr>
          <w:rFonts w:ascii="Verdana" w:hAnsi="Verdana"/>
          <w:sz w:val="23"/>
          <w:szCs w:val="23"/>
        </w:rPr>
        <w:lastRenderedPageBreak/>
        <w:t>mila a 10 mila €</w:t>
      </w:r>
      <w:r>
        <w:rPr>
          <w:rFonts w:ascii="Verdana" w:hAnsi="Verdana"/>
          <w:sz w:val="23"/>
          <w:szCs w:val="23"/>
        </w:rPr>
        <w:t xml:space="preserve"> in totale</w:t>
      </w:r>
      <w:r w:rsidRPr="00CB6885">
        <w:rPr>
          <w:rFonts w:ascii="Verdana" w:hAnsi="Verdana"/>
          <w:sz w:val="23"/>
          <w:szCs w:val="23"/>
        </w:rPr>
        <w:t xml:space="preserve">. </w:t>
      </w:r>
      <w:r>
        <w:rPr>
          <w:rFonts w:ascii="Verdana" w:hAnsi="Verdana"/>
          <w:sz w:val="23"/>
          <w:szCs w:val="23"/>
        </w:rPr>
        <w:t>Anche i</w:t>
      </w:r>
      <w:r w:rsidRPr="00CB6885">
        <w:rPr>
          <w:rFonts w:ascii="Verdana" w:hAnsi="Verdana"/>
          <w:sz w:val="23"/>
          <w:szCs w:val="23"/>
        </w:rPr>
        <w:t xml:space="preserve"> </w:t>
      </w:r>
      <w:r>
        <w:rPr>
          <w:rFonts w:ascii="Verdana" w:hAnsi="Verdana"/>
          <w:sz w:val="23"/>
          <w:szCs w:val="23"/>
        </w:rPr>
        <w:t xml:space="preserve">quasi 200 mila </w:t>
      </w:r>
      <w:r w:rsidRPr="00CB6885">
        <w:rPr>
          <w:rFonts w:ascii="Verdana" w:hAnsi="Verdana"/>
          <w:b/>
          <w:sz w:val="23"/>
          <w:szCs w:val="23"/>
        </w:rPr>
        <w:t>ristoranti</w:t>
      </w:r>
      <w:r w:rsidRPr="00CB6885">
        <w:rPr>
          <w:rFonts w:ascii="Verdana" w:hAnsi="Verdana"/>
          <w:sz w:val="23"/>
          <w:szCs w:val="23"/>
        </w:rPr>
        <w:t xml:space="preserve"> </w:t>
      </w:r>
      <w:r>
        <w:rPr>
          <w:rFonts w:ascii="Verdana" w:hAnsi="Verdana"/>
          <w:sz w:val="23"/>
          <w:szCs w:val="23"/>
        </w:rPr>
        <w:t>registre</w:t>
      </w:r>
      <w:r w:rsidRPr="00CB6885">
        <w:rPr>
          <w:rFonts w:ascii="Verdana" w:hAnsi="Verdana"/>
          <w:sz w:val="23"/>
          <w:szCs w:val="23"/>
        </w:rPr>
        <w:t>ranno una maggior</w:t>
      </w:r>
      <w:r>
        <w:rPr>
          <w:rFonts w:ascii="Verdana" w:hAnsi="Verdana"/>
          <w:sz w:val="23"/>
          <w:szCs w:val="23"/>
        </w:rPr>
        <w:t>e</w:t>
      </w:r>
      <w:r w:rsidRPr="00CB6885">
        <w:rPr>
          <w:rFonts w:ascii="Verdana" w:hAnsi="Verdana"/>
          <w:sz w:val="23"/>
          <w:szCs w:val="23"/>
        </w:rPr>
        <w:t xml:space="preserve"> spesa elettrica </w:t>
      </w:r>
      <w:r>
        <w:rPr>
          <w:rFonts w:ascii="Verdana" w:hAnsi="Verdana"/>
          <w:sz w:val="23"/>
          <w:szCs w:val="23"/>
        </w:rPr>
        <w:t xml:space="preserve">che passerà </w:t>
      </w:r>
      <w:r w:rsidRPr="00CB6885">
        <w:rPr>
          <w:rFonts w:ascii="Verdana" w:hAnsi="Verdana"/>
          <w:sz w:val="23"/>
          <w:szCs w:val="23"/>
        </w:rPr>
        <w:t xml:space="preserve">da 7 mila a 12 mila € che, con il gas, </w:t>
      </w:r>
      <w:r>
        <w:rPr>
          <w:rFonts w:ascii="Verdana" w:hAnsi="Verdana"/>
          <w:sz w:val="23"/>
          <w:szCs w:val="23"/>
        </w:rPr>
        <w:t xml:space="preserve">farà segnare </w:t>
      </w:r>
      <w:r w:rsidRPr="00CB6885">
        <w:rPr>
          <w:rFonts w:ascii="Verdana" w:hAnsi="Verdana"/>
          <w:sz w:val="23"/>
          <w:szCs w:val="23"/>
        </w:rPr>
        <w:t>un maggiore costo totale che da 11 mila</w:t>
      </w:r>
      <w:r>
        <w:rPr>
          <w:rFonts w:ascii="Verdana" w:hAnsi="Verdana"/>
          <w:sz w:val="23"/>
          <w:szCs w:val="23"/>
        </w:rPr>
        <w:t xml:space="preserve"> € salirà fino</w:t>
      </w:r>
      <w:r w:rsidRPr="00CB6885">
        <w:rPr>
          <w:rFonts w:ascii="Verdana" w:hAnsi="Verdana"/>
          <w:sz w:val="23"/>
          <w:szCs w:val="23"/>
        </w:rPr>
        <w:t xml:space="preserve"> a 19 mila €.</w:t>
      </w:r>
    </w:p>
    <w:p w:rsidR="00477EA6" w:rsidRPr="00CB6885" w:rsidRDefault="00477EA6" w:rsidP="00477EA6">
      <w:pPr>
        <w:jc w:val="both"/>
        <w:rPr>
          <w:rFonts w:ascii="Verdana" w:hAnsi="Verdana"/>
          <w:sz w:val="23"/>
          <w:szCs w:val="23"/>
        </w:rPr>
      </w:pPr>
      <w:r>
        <w:rPr>
          <w:rFonts w:ascii="Verdana" w:hAnsi="Verdana"/>
          <w:sz w:val="23"/>
          <w:szCs w:val="23"/>
        </w:rPr>
        <w:t>Per g</w:t>
      </w:r>
      <w:r w:rsidRPr="00CB6885">
        <w:rPr>
          <w:rFonts w:ascii="Verdana" w:hAnsi="Verdana"/>
          <w:sz w:val="23"/>
          <w:szCs w:val="23"/>
        </w:rPr>
        <w:t xml:space="preserve">li oltre 200 mila </w:t>
      </w:r>
      <w:r w:rsidRPr="00CB6885">
        <w:rPr>
          <w:rFonts w:ascii="Verdana" w:hAnsi="Verdana"/>
          <w:b/>
          <w:sz w:val="23"/>
          <w:szCs w:val="23"/>
        </w:rPr>
        <w:t>negozi alimentari</w:t>
      </w:r>
      <w:r w:rsidRPr="00CB6885">
        <w:rPr>
          <w:rFonts w:ascii="Verdana" w:hAnsi="Verdana"/>
          <w:sz w:val="23"/>
          <w:szCs w:val="23"/>
        </w:rPr>
        <w:t xml:space="preserve">, che usano molto </w:t>
      </w:r>
      <w:r>
        <w:rPr>
          <w:rFonts w:ascii="Verdana" w:hAnsi="Verdana"/>
          <w:sz w:val="23"/>
          <w:szCs w:val="23"/>
        </w:rPr>
        <w:t>l’</w:t>
      </w:r>
      <w:r w:rsidRPr="00CB6885">
        <w:rPr>
          <w:rFonts w:ascii="Verdana" w:hAnsi="Verdana"/>
          <w:sz w:val="23"/>
          <w:szCs w:val="23"/>
        </w:rPr>
        <w:t>elettricità per la refrigeraz</w:t>
      </w:r>
      <w:r>
        <w:rPr>
          <w:rFonts w:ascii="Verdana" w:hAnsi="Verdana"/>
          <w:sz w:val="23"/>
          <w:szCs w:val="23"/>
        </w:rPr>
        <w:t xml:space="preserve">ione degli alimenti, la bolletta elettrica passerà </w:t>
      </w:r>
      <w:r w:rsidRPr="00CB6885">
        <w:rPr>
          <w:rFonts w:ascii="Verdana" w:hAnsi="Verdana"/>
          <w:sz w:val="23"/>
          <w:szCs w:val="23"/>
        </w:rPr>
        <w:t xml:space="preserve">da 15 </w:t>
      </w:r>
      <w:r>
        <w:rPr>
          <w:rFonts w:ascii="Verdana" w:hAnsi="Verdana"/>
          <w:sz w:val="23"/>
          <w:szCs w:val="23"/>
        </w:rPr>
        <w:t>mila a 24 mila €</w:t>
      </w:r>
      <w:r w:rsidRPr="00CB6885">
        <w:rPr>
          <w:rFonts w:ascii="Verdana" w:hAnsi="Verdana"/>
          <w:sz w:val="23"/>
          <w:szCs w:val="23"/>
        </w:rPr>
        <w:t xml:space="preserve">, </w:t>
      </w:r>
      <w:r w:rsidRPr="004B4790">
        <w:rPr>
          <w:rFonts w:ascii="Verdana" w:hAnsi="Verdana"/>
          <w:sz w:val="23"/>
          <w:szCs w:val="23"/>
        </w:rPr>
        <w:t>mentre i costi del gas, usato per lo più per il riscaldamento dei locali, passeranno da 1.300 a 2.300 €, con il totale che salterà</w:t>
      </w:r>
      <w:r>
        <w:rPr>
          <w:rFonts w:ascii="Verdana" w:hAnsi="Verdana"/>
          <w:sz w:val="23"/>
          <w:szCs w:val="23"/>
        </w:rPr>
        <w:t xml:space="preserve"> così da 16 mila a</w:t>
      </w:r>
      <w:r w:rsidRPr="004B4790">
        <w:rPr>
          <w:rFonts w:ascii="Verdana" w:hAnsi="Verdana"/>
          <w:sz w:val="23"/>
          <w:szCs w:val="23"/>
        </w:rPr>
        <w:t xml:space="preserve"> 26 mila €.</w:t>
      </w:r>
    </w:p>
    <w:p w:rsidR="00477EA6" w:rsidRPr="00CB6885" w:rsidRDefault="00477EA6" w:rsidP="00477EA6">
      <w:pPr>
        <w:jc w:val="both"/>
        <w:rPr>
          <w:rFonts w:ascii="Verdana" w:hAnsi="Verdana"/>
          <w:sz w:val="23"/>
          <w:szCs w:val="23"/>
        </w:rPr>
      </w:pPr>
      <w:r w:rsidRPr="00CB6885">
        <w:rPr>
          <w:rFonts w:ascii="Verdana" w:hAnsi="Verdana"/>
          <w:sz w:val="23"/>
          <w:szCs w:val="23"/>
        </w:rPr>
        <w:t>I</w:t>
      </w:r>
      <w:r>
        <w:rPr>
          <w:rFonts w:ascii="Verdana" w:hAnsi="Verdana"/>
          <w:sz w:val="23"/>
          <w:szCs w:val="23"/>
        </w:rPr>
        <w:t xml:space="preserve"> circa 440 mila</w:t>
      </w:r>
      <w:r w:rsidRPr="00CB6885">
        <w:rPr>
          <w:rFonts w:ascii="Verdana" w:hAnsi="Verdana"/>
          <w:sz w:val="23"/>
          <w:szCs w:val="23"/>
        </w:rPr>
        <w:t xml:space="preserve"> </w:t>
      </w:r>
      <w:r w:rsidRPr="00CB6885">
        <w:rPr>
          <w:rFonts w:ascii="Verdana" w:hAnsi="Verdana"/>
          <w:b/>
          <w:sz w:val="23"/>
          <w:szCs w:val="23"/>
        </w:rPr>
        <w:t>negozi non alimentari</w:t>
      </w:r>
      <w:r w:rsidRPr="00CB6885">
        <w:rPr>
          <w:rFonts w:ascii="Verdana" w:hAnsi="Verdana"/>
          <w:sz w:val="23"/>
          <w:szCs w:val="23"/>
        </w:rPr>
        <w:t>, la categoria più numerosa, avr</w:t>
      </w:r>
      <w:r>
        <w:rPr>
          <w:rFonts w:ascii="Verdana" w:hAnsi="Verdana"/>
          <w:sz w:val="23"/>
          <w:szCs w:val="23"/>
        </w:rPr>
        <w:t>anno</w:t>
      </w:r>
      <w:r w:rsidRPr="00CB6885">
        <w:rPr>
          <w:rFonts w:ascii="Verdana" w:hAnsi="Verdana"/>
          <w:sz w:val="23"/>
          <w:szCs w:val="23"/>
        </w:rPr>
        <w:t xml:space="preserve"> una bolletta energetica, fra gas ed elettricità, che passerà</w:t>
      </w:r>
      <w:r>
        <w:rPr>
          <w:rFonts w:ascii="Verdana" w:hAnsi="Verdana"/>
          <w:sz w:val="23"/>
          <w:szCs w:val="23"/>
        </w:rPr>
        <w:t xml:space="preserve"> </w:t>
      </w:r>
      <w:r w:rsidRPr="00CB6885">
        <w:rPr>
          <w:rFonts w:ascii="Verdana" w:hAnsi="Verdana"/>
          <w:sz w:val="23"/>
          <w:szCs w:val="23"/>
        </w:rPr>
        <w:t xml:space="preserve">da 5 mila a 7 mila €, con l’incremento maggiore dovuto all’elettricità. </w:t>
      </w:r>
    </w:p>
    <w:p w:rsidR="00477EA6" w:rsidRDefault="00477EA6" w:rsidP="00477EA6">
      <w:pPr>
        <w:jc w:val="both"/>
        <w:rPr>
          <w:rFonts w:ascii="Verdana" w:hAnsi="Verdana"/>
          <w:sz w:val="23"/>
          <w:szCs w:val="23"/>
        </w:rPr>
      </w:pPr>
    </w:p>
    <w:p w:rsidR="00477EA6" w:rsidRPr="004812FE" w:rsidRDefault="00477EA6" w:rsidP="00477EA6">
      <w:pPr>
        <w:jc w:val="both"/>
        <w:rPr>
          <w:rFonts w:ascii="Verdana" w:hAnsi="Verdana"/>
          <w:sz w:val="23"/>
          <w:szCs w:val="23"/>
        </w:rPr>
      </w:pPr>
      <w:r w:rsidRPr="00086395">
        <w:rPr>
          <w:rFonts w:ascii="Verdana" w:hAnsi="Verdana"/>
          <w:sz w:val="23"/>
          <w:szCs w:val="23"/>
        </w:rPr>
        <w:t xml:space="preserve">Se non bastasse, negli ultimi giorni si è “risvegliato” anche il petrolio la cui quotazione, dopo mesi di sostanziale stabilità, è arrivata a 87 dollari per barile, massimo da oltre 7 anni e circa il 60% in più rispetto ad un anno fa. Aumento che ha trascinato al rialzo anche il prezzo del gasolio diesel, impiegato dall’autotrasporto per la logistica di tutti i beni che arrivano ai consumatori finali, che tocca oggi nuovi picchi a 1,65 € per litro, massimo anche questo da metà 2014, superiore di 35 centesimi rispetto ad un anno fa. Per il settore </w:t>
      </w:r>
      <w:r w:rsidRPr="004A6BEE">
        <w:rPr>
          <w:rFonts w:ascii="Verdana" w:hAnsi="Verdana"/>
          <w:sz w:val="23"/>
          <w:szCs w:val="23"/>
        </w:rPr>
        <w:t>dell’</w:t>
      </w:r>
      <w:r w:rsidRPr="004A6BEE">
        <w:rPr>
          <w:rFonts w:ascii="Verdana" w:hAnsi="Verdana"/>
          <w:b/>
          <w:sz w:val="23"/>
          <w:szCs w:val="23"/>
        </w:rPr>
        <w:t>autotrasporto</w:t>
      </w:r>
      <w:r w:rsidRPr="00086395">
        <w:rPr>
          <w:rFonts w:ascii="Verdana" w:hAnsi="Verdana"/>
          <w:sz w:val="23"/>
          <w:szCs w:val="23"/>
        </w:rPr>
        <w:t>, che consuma circa 20 miliardi di litri di gasolio all’anno, questi aumenti significano un maggior costo su base annuale pari a 7 miliardi di €.</w:t>
      </w:r>
      <w:r>
        <w:rPr>
          <w:rFonts w:ascii="Cambria" w:hAnsi="Cambria"/>
          <w:szCs w:val="28"/>
        </w:rPr>
        <w:t xml:space="preserve"> </w:t>
      </w:r>
      <w:r w:rsidRPr="004812FE">
        <w:rPr>
          <w:rFonts w:ascii="Verdana" w:hAnsi="Verdana"/>
          <w:sz w:val="23"/>
          <w:szCs w:val="23"/>
        </w:rPr>
        <w:t>D'altra parte, sul fronte dei carburanti alternativi, la crescita vertiginosa dei prezzi del Gas Naturale Liquefatto (GNL), che in un anno sono più che raddoppiati, rende, di fatto, economicamente inutilizzabile tale soluzione, con tanti veicoli con tale alimentazione, sostenibili e di recente acquisto,</w:t>
      </w:r>
      <w:r>
        <w:rPr>
          <w:rFonts w:ascii="Verdana" w:hAnsi="Verdana"/>
          <w:sz w:val="23"/>
          <w:szCs w:val="23"/>
        </w:rPr>
        <w:t xml:space="preserve"> </w:t>
      </w:r>
      <w:r w:rsidRPr="004812FE">
        <w:rPr>
          <w:rFonts w:ascii="Verdana" w:hAnsi="Verdana"/>
          <w:sz w:val="23"/>
          <w:szCs w:val="23"/>
        </w:rPr>
        <w:t>costretti paradossalmente a rimanere fer</w:t>
      </w:r>
      <w:r>
        <w:rPr>
          <w:rFonts w:ascii="Verdana" w:hAnsi="Verdana"/>
          <w:sz w:val="23"/>
          <w:szCs w:val="23"/>
        </w:rPr>
        <w:t>mi nei piazzali delle imprese.</w:t>
      </w:r>
    </w:p>
    <w:p w:rsidR="00477EA6" w:rsidRPr="00117806" w:rsidRDefault="00477EA6" w:rsidP="00477EA6">
      <w:pPr>
        <w:pStyle w:val="NormaleWeb"/>
        <w:spacing w:before="0" w:beforeAutospacing="0" w:after="0" w:afterAutospacing="0"/>
        <w:ind w:left="0" w:hanging="2"/>
        <w:jc w:val="both"/>
        <w:rPr>
          <w:rFonts w:ascii="Verdana" w:eastAsia="Times" w:hAnsi="Verdana" w:cs="Times New Roman"/>
          <w:position w:val="0"/>
          <w:sz w:val="23"/>
          <w:szCs w:val="23"/>
        </w:rPr>
      </w:pPr>
    </w:p>
    <w:p w:rsidR="00477EA6" w:rsidRPr="00117806" w:rsidRDefault="00477EA6" w:rsidP="00477EA6">
      <w:pPr>
        <w:pStyle w:val="NormaleWeb"/>
        <w:spacing w:before="0" w:beforeAutospacing="0" w:after="0" w:afterAutospacing="0"/>
        <w:ind w:left="0" w:hanging="2"/>
        <w:jc w:val="both"/>
        <w:rPr>
          <w:rFonts w:ascii="Verdana" w:eastAsia="Times" w:hAnsi="Verdana" w:cs="Times New Roman"/>
          <w:position w:val="0"/>
          <w:sz w:val="23"/>
          <w:szCs w:val="23"/>
        </w:rPr>
      </w:pPr>
      <w:r w:rsidRPr="00117806">
        <w:rPr>
          <w:rFonts w:ascii="Verdana" w:eastAsia="Times" w:hAnsi="Verdana" w:cs="Times New Roman"/>
          <w:position w:val="0"/>
          <w:sz w:val="23"/>
          <w:szCs w:val="23"/>
        </w:rPr>
        <w:t xml:space="preserve">Si tratta di aumenti insostenibili destinati </w:t>
      </w:r>
      <w:r>
        <w:rPr>
          <w:rFonts w:ascii="Verdana" w:eastAsia="Times" w:hAnsi="Verdana" w:cs="Times New Roman"/>
          <w:position w:val="0"/>
          <w:sz w:val="23"/>
          <w:szCs w:val="23"/>
        </w:rPr>
        <w:t>ad</w:t>
      </w:r>
      <w:r w:rsidRPr="00117806">
        <w:rPr>
          <w:rFonts w:ascii="Verdana" w:eastAsia="Times" w:hAnsi="Verdana" w:cs="Times New Roman"/>
          <w:position w:val="0"/>
          <w:sz w:val="23"/>
          <w:szCs w:val="23"/>
        </w:rPr>
        <w:t xml:space="preserve"> incidere sull’inflazione e ad indebolire la dinamica dei consumi. Per contrastare il “caro bollette”, servono misure strutturali. In particolare, occorre affrontare il tema della riduzione della dipendenza dalle forniture estere. Inoltre, va avviata la riforma della struttura della bolletta elettrica, anche affrontando il nodo degli oneri generali di sistema. E vanno messe in campo misure per compensare gli impatti negativi dell’aumento dei prezzi dei carburanti su tutta la filiera del trasporto e della logistica. </w:t>
      </w:r>
      <w:proofErr w:type="gramStart"/>
      <w:r w:rsidRPr="00117806">
        <w:rPr>
          <w:rFonts w:ascii="Verdana" w:eastAsia="Times" w:hAnsi="Verdana" w:cs="Times New Roman"/>
          <w:position w:val="0"/>
          <w:sz w:val="23"/>
          <w:szCs w:val="23"/>
        </w:rPr>
        <w:t>E’</w:t>
      </w:r>
      <w:proofErr w:type="gramEnd"/>
      <w:r w:rsidRPr="00117806">
        <w:rPr>
          <w:rFonts w:ascii="Verdana" w:eastAsia="Times" w:hAnsi="Verdana" w:cs="Times New Roman"/>
          <w:position w:val="0"/>
          <w:sz w:val="23"/>
          <w:szCs w:val="23"/>
        </w:rPr>
        <w:t xml:space="preserve"> necessario un percorso di transizione energetica che consenta di tenere insieme innovazione tecnologica, rispetto dell’ambiente, benefici occupazionali ed economici per cittadini e imprese. E va attentamente valutato l’impatto del pacchetto europeo “</w:t>
      </w:r>
      <w:proofErr w:type="spellStart"/>
      <w:r w:rsidRPr="00117806">
        <w:rPr>
          <w:rFonts w:ascii="Verdana" w:eastAsia="Times" w:hAnsi="Verdana" w:cs="Times New Roman"/>
          <w:position w:val="0"/>
          <w:sz w:val="23"/>
          <w:szCs w:val="23"/>
        </w:rPr>
        <w:t>Fit</w:t>
      </w:r>
      <w:proofErr w:type="spellEnd"/>
      <w:r w:rsidRPr="00117806">
        <w:rPr>
          <w:rFonts w:ascii="Verdana" w:eastAsia="Times" w:hAnsi="Verdana" w:cs="Times New Roman"/>
          <w:position w:val="0"/>
          <w:sz w:val="23"/>
          <w:szCs w:val="23"/>
        </w:rPr>
        <w:t xml:space="preserve"> for 55”: vi è il rischio che, in assenza di correttivi, i costi della transizione risultino insostenibili per le imprese.</w:t>
      </w:r>
    </w:p>
    <w:p w:rsidR="00477EA6" w:rsidRDefault="00477EA6" w:rsidP="00477EA6">
      <w:pPr>
        <w:jc w:val="both"/>
        <w:rPr>
          <w:rFonts w:ascii="Verdana" w:hAnsi="Verdana"/>
          <w:sz w:val="23"/>
          <w:szCs w:val="23"/>
        </w:rPr>
      </w:pPr>
    </w:p>
    <w:p w:rsidR="005D1C90" w:rsidRPr="004C786A" w:rsidRDefault="005D1C90" w:rsidP="007547DE">
      <w:pPr>
        <w:rPr>
          <w:rFonts w:asciiTheme="minorHAnsi" w:hAnsiTheme="minorHAnsi"/>
        </w:rPr>
      </w:pPr>
      <w:bookmarkStart w:id="0" w:name="_GoBack"/>
      <w:bookmarkEnd w:id="0"/>
    </w:p>
    <w:sectPr w:rsidR="005D1C90" w:rsidRPr="004C786A" w:rsidSect="00FE3A1C">
      <w:headerReference w:type="even" r:id="rId8"/>
      <w:headerReference w:type="default" r:id="rId9"/>
      <w:footerReference w:type="even" r:id="rId10"/>
      <w:footerReference w:type="default" r:id="rId11"/>
      <w:headerReference w:type="first" r:id="rId12"/>
      <w:footerReference w:type="first" r:id="rId13"/>
      <w:pgSz w:w="11906" w:h="16838" w:code="9"/>
      <w:pgMar w:top="1871" w:right="1134" w:bottom="1134" w:left="1134" w:header="34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B8" w:rsidRDefault="009551B8">
      <w:r>
        <w:separator/>
      </w:r>
    </w:p>
  </w:endnote>
  <w:endnote w:type="continuationSeparator" w:id="0">
    <w:p w:rsidR="009551B8" w:rsidRDefault="0095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CE 45 Light">
    <w:altName w:val="Microsoft YaHei"/>
    <w:charset w:val="00"/>
    <w:family w:val="auto"/>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AD" w:rsidRDefault="00206E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AD" w:rsidRDefault="00CE2A9C" w:rsidP="00AD57C4">
    <w:pPr>
      <w:pStyle w:val="Pidipagina"/>
      <w:tabs>
        <w:tab w:val="clear" w:pos="4819"/>
        <w:tab w:val="center" w:pos="4962"/>
      </w:tabs>
      <w:jc w:val="center"/>
      <w:rPr>
        <w:rFonts w:ascii="Frutiger CE 45 Light" w:eastAsia="Arial Unicode MS" w:hAnsi="Frutiger CE 45 Light" w:cs="Arial"/>
        <w:color w:val="00467F"/>
        <w:sz w:val="20"/>
        <w:szCs w:val="20"/>
      </w:rPr>
    </w:pPr>
    <w:r w:rsidRPr="00CE2A9C">
      <w:rPr>
        <w:rFonts w:ascii="Frutiger CE 45 Light" w:eastAsia="Arial Unicode MS" w:hAnsi="Frutiger CE 45 Light" w:cs="Arial"/>
        <w:color w:val="00467F"/>
        <w:sz w:val="20"/>
        <w:szCs w:val="20"/>
      </w:rPr>
      <w:t>40129 Bologna – Via Tiarini 22 – tel. 051 4156060 – fax 051 4156061</w:t>
    </w:r>
    <w:r w:rsidR="00FE3A1C">
      <w:rPr>
        <w:rFonts w:ascii="Frutiger CE 45 Light" w:eastAsia="Arial Unicode MS" w:hAnsi="Frutiger CE 45 Light" w:cs="Arial"/>
        <w:color w:val="00467F"/>
        <w:sz w:val="20"/>
        <w:szCs w:val="20"/>
      </w:rPr>
      <w:br/>
    </w:r>
    <w:r w:rsidRPr="00CE2A9C">
      <w:rPr>
        <w:rFonts w:ascii="Frutiger CE 45 Light" w:eastAsia="Arial Unicode MS" w:hAnsi="Frutiger CE 45 Light" w:cs="Arial"/>
        <w:color w:val="00467F"/>
        <w:sz w:val="20"/>
        <w:szCs w:val="20"/>
      </w:rPr>
      <w:t xml:space="preserve">e-mail: </w:t>
    </w:r>
    <w:hyperlink r:id="rId1" w:history="1">
      <w:r w:rsidRPr="00CE2A9C">
        <w:rPr>
          <w:rStyle w:val="Collegamentoipertestuale"/>
          <w:rFonts w:ascii="Frutiger CE 45 Light" w:eastAsia="Arial Unicode MS" w:hAnsi="Frutiger CE 45 Light" w:cs="Arial"/>
          <w:color w:val="00467F"/>
          <w:sz w:val="20"/>
          <w:szCs w:val="20"/>
          <w:u w:val="none"/>
        </w:rPr>
        <w:t>emiliaromagna@confcommercio.it</w:t>
      </w:r>
    </w:hyperlink>
    <w:r w:rsidRPr="00CE2A9C">
      <w:rPr>
        <w:rFonts w:ascii="Frutiger CE 45 Light" w:eastAsia="Arial Unicode MS" w:hAnsi="Frutiger CE 45 Light" w:cs="Arial"/>
        <w:color w:val="00467F"/>
        <w:sz w:val="20"/>
        <w:szCs w:val="20"/>
      </w:rPr>
      <w:t xml:space="preserve"> – </w:t>
    </w:r>
    <w:hyperlink r:id="rId2" w:history="1">
      <w:r w:rsidR="00206EAD" w:rsidRPr="00276CAE">
        <w:rPr>
          <w:rStyle w:val="Collegamentoipertestuale"/>
          <w:rFonts w:ascii="Frutiger CE 45 Light" w:eastAsia="Arial Unicode MS" w:hAnsi="Frutiger CE 45 Light" w:cs="Arial"/>
          <w:sz w:val="20"/>
          <w:szCs w:val="20"/>
        </w:rPr>
        <w:t>www.confcommercio-er.it</w:t>
      </w:r>
    </w:hyperlink>
  </w:p>
  <w:p w:rsidR="0008493F" w:rsidRPr="00CE2A9C" w:rsidRDefault="00206EAD" w:rsidP="00AD57C4">
    <w:pPr>
      <w:pStyle w:val="Pidipagina"/>
      <w:tabs>
        <w:tab w:val="clear" w:pos="4819"/>
        <w:tab w:val="center" w:pos="4962"/>
      </w:tabs>
      <w:jc w:val="center"/>
      <w:rPr>
        <w:rFonts w:ascii="Frutiger CE 45 Light" w:eastAsia="Arial Unicode MS" w:hAnsi="Frutiger CE 45 Light" w:cs="Arial"/>
        <w:color w:val="00467F"/>
        <w:sz w:val="20"/>
        <w:szCs w:val="20"/>
      </w:rPr>
    </w:pPr>
    <w:r w:rsidRPr="00206EAD">
      <w:rPr>
        <w:rFonts w:ascii="Frutiger CE 45 Light" w:eastAsia="Arial Unicode MS" w:hAnsi="Frutiger CE 45 Light" w:cs="Arial"/>
        <w:color w:val="00467F"/>
        <w:sz w:val="20"/>
        <w:szCs w:val="20"/>
      </w:rPr>
      <w:t xml:space="preserve">Iscrizione </w:t>
    </w:r>
    <w:r w:rsidR="0008493F" w:rsidRPr="0008493F">
      <w:rPr>
        <w:rFonts w:ascii="Frutiger CE 45 Light" w:eastAsia="Arial Unicode MS" w:hAnsi="Frutiger CE 45 Light" w:cs="Arial"/>
        <w:color w:val="00467F"/>
        <w:sz w:val="20"/>
        <w:szCs w:val="20"/>
      </w:rPr>
      <w:t>Registro Regional</w:t>
    </w:r>
    <w:r w:rsidR="003756E7">
      <w:rPr>
        <w:rFonts w:ascii="Frutiger CE 45 Light" w:eastAsia="Arial Unicode MS" w:hAnsi="Frutiger CE 45 Light" w:cs="Arial"/>
        <w:color w:val="00467F"/>
        <w:sz w:val="20"/>
        <w:szCs w:val="20"/>
      </w:rPr>
      <w:t>e delle Persone Giuridiche dell’</w:t>
    </w:r>
    <w:r w:rsidR="0008493F" w:rsidRPr="0008493F">
      <w:rPr>
        <w:rFonts w:ascii="Frutiger CE 45 Light" w:eastAsia="Arial Unicode MS" w:hAnsi="Frutiger CE 45 Light" w:cs="Arial"/>
        <w:color w:val="00467F"/>
        <w:sz w:val="20"/>
        <w:szCs w:val="20"/>
      </w:rPr>
      <w:t>Emilia-Romagna al n. 590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AD" w:rsidRDefault="00206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B8" w:rsidRDefault="009551B8">
      <w:r>
        <w:separator/>
      </w:r>
    </w:p>
  </w:footnote>
  <w:footnote w:type="continuationSeparator" w:id="0">
    <w:p w:rsidR="009551B8" w:rsidRDefault="0095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AD" w:rsidRDefault="00206E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9C" w:rsidRDefault="00CE2A9C" w:rsidP="00C71E74">
    <w:pPr>
      <w:pStyle w:val="Intestazione"/>
      <w:jc w:val="center"/>
    </w:pPr>
    <w:r>
      <w:rPr>
        <w:noProof/>
      </w:rPr>
      <w:drawing>
        <wp:inline distT="0" distB="0" distL="0" distR="0" wp14:anchorId="1D535B8A" wp14:editId="21EB7601">
          <wp:extent cx="2286000" cy="1363862"/>
          <wp:effectExtent l="19050" t="0" r="0" b="0"/>
          <wp:docPr id="2" name="Immagine 1" descr="LOGO ORIGINALE+ER+UNIO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E+ER+UNIONE_.JPG"/>
                  <pic:cNvPicPr/>
                </pic:nvPicPr>
                <pic:blipFill>
                  <a:blip r:embed="rId1"/>
                  <a:stretch>
                    <a:fillRect/>
                  </a:stretch>
                </pic:blipFill>
                <pic:spPr>
                  <a:xfrm>
                    <a:off x="0" y="0"/>
                    <a:ext cx="2281441" cy="13611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AD" w:rsidRDefault="00206E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458"/>
    <w:multiLevelType w:val="hybridMultilevel"/>
    <w:tmpl w:val="F91C60BA"/>
    <w:lvl w:ilvl="0" w:tplc="3174BC22">
      <w:start w:val="1"/>
      <w:numFmt w:val="bullet"/>
      <w:lvlText w:val="-"/>
      <w:lvlJc w:val="left"/>
      <w:pPr>
        <w:ind w:left="108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C821A98"/>
    <w:multiLevelType w:val="hybridMultilevel"/>
    <w:tmpl w:val="CFAEF7CA"/>
    <w:lvl w:ilvl="0" w:tplc="B11E582A">
      <w:start w:val="1"/>
      <w:numFmt w:val="bullet"/>
      <w:lvlText w:val=""/>
      <w:lvlJc w:val="left"/>
      <w:pPr>
        <w:tabs>
          <w:tab w:val="num" w:pos="720"/>
        </w:tabs>
        <w:ind w:left="720" w:hanging="360"/>
      </w:pPr>
      <w:rPr>
        <w:rFonts w:ascii="Wingdings 3" w:hAnsi="Wingdings 3" w:hint="default"/>
      </w:rPr>
    </w:lvl>
    <w:lvl w:ilvl="1" w:tplc="9DE60654" w:tentative="1">
      <w:start w:val="1"/>
      <w:numFmt w:val="bullet"/>
      <w:lvlText w:val=""/>
      <w:lvlJc w:val="left"/>
      <w:pPr>
        <w:tabs>
          <w:tab w:val="num" w:pos="1440"/>
        </w:tabs>
        <w:ind w:left="1440" w:hanging="360"/>
      </w:pPr>
      <w:rPr>
        <w:rFonts w:ascii="Wingdings 3" w:hAnsi="Wingdings 3" w:hint="default"/>
      </w:rPr>
    </w:lvl>
    <w:lvl w:ilvl="2" w:tplc="0B261064" w:tentative="1">
      <w:start w:val="1"/>
      <w:numFmt w:val="bullet"/>
      <w:lvlText w:val=""/>
      <w:lvlJc w:val="left"/>
      <w:pPr>
        <w:tabs>
          <w:tab w:val="num" w:pos="2160"/>
        </w:tabs>
        <w:ind w:left="2160" w:hanging="360"/>
      </w:pPr>
      <w:rPr>
        <w:rFonts w:ascii="Wingdings 3" w:hAnsi="Wingdings 3" w:hint="default"/>
      </w:rPr>
    </w:lvl>
    <w:lvl w:ilvl="3" w:tplc="09FE9E5A" w:tentative="1">
      <w:start w:val="1"/>
      <w:numFmt w:val="bullet"/>
      <w:lvlText w:val=""/>
      <w:lvlJc w:val="left"/>
      <w:pPr>
        <w:tabs>
          <w:tab w:val="num" w:pos="2880"/>
        </w:tabs>
        <w:ind w:left="2880" w:hanging="360"/>
      </w:pPr>
      <w:rPr>
        <w:rFonts w:ascii="Wingdings 3" w:hAnsi="Wingdings 3" w:hint="default"/>
      </w:rPr>
    </w:lvl>
    <w:lvl w:ilvl="4" w:tplc="6A5A5E20" w:tentative="1">
      <w:start w:val="1"/>
      <w:numFmt w:val="bullet"/>
      <w:lvlText w:val=""/>
      <w:lvlJc w:val="left"/>
      <w:pPr>
        <w:tabs>
          <w:tab w:val="num" w:pos="3600"/>
        </w:tabs>
        <w:ind w:left="3600" w:hanging="360"/>
      </w:pPr>
      <w:rPr>
        <w:rFonts w:ascii="Wingdings 3" w:hAnsi="Wingdings 3" w:hint="default"/>
      </w:rPr>
    </w:lvl>
    <w:lvl w:ilvl="5" w:tplc="50A8A70E" w:tentative="1">
      <w:start w:val="1"/>
      <w:numFmt w:val="bullet"/>
      <w:lvlText w:val=""/>
      <w:lvlJc w:val="left"/>
      <w:pPr>
        <w:tabs>
          <w:tab w:val="num" w:pos="4320"/>
        </w:tabs>
        <w:ind w:left="4320" w:hanging="360"/>
      </w:pPr>
      <w:rPr>
        <w:rFonts w:ascii="Wingdings 3" w:hAnsi="Wingdings 3" w:hint="default"/>
      </w:rPr>
    </w:lvl>
    <w:lvl w:ilvl="6" w:tplc="4D10E434" w:tentative="1">
      <w:start w:val="1"/>
      <w:numFmt w:val="bullet"/>
      <w:lvlText w:val=""/>
      <w:lvlJc w:val="left"/>
      <w:pPr>
        <w:tabs>
          <w:tab w:val="num" w:pos="5040"/>
        </w:tabs>
        <w:ind w:left="5040" w:hanging="360"/>
      </w:pPr>
      <w:rPr>
        <w:rFonts w:ascii="Wingdings 3" w:hAnsi="Wingdings 3" w:hint="default"/>
      </w:rPr>
    </w:lvl>
    <w:lvl w:ilvl="7" w:tplc="3C3C592E" w:tentative="1">
      <w:start w:val="1"/>
      <w:numFmt w:val="bullet"/>
      <w:lvlText w:val=""/>
      <w:lvlJc w:val="left"/>
      <w:pPr>
        <w:tabs>
          <w:tab w:val="num" w:pos="5760"/>
        </w:tabs>
        <w:ind w:left="5760" w:hanging="360"/>
      </w:pPr>
      <w:rPr>
        <w:rFonts w:ascii="Wingdings 3" w:hAnsi="Wingdings 3" w:hint="default"/>
      </w:rPr>
    </w:lvl>
    <w:lvl w:ilvl="8" w:tplc="CC02077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E72E4D"/>
    <w:multiLevelType w:val="hybridMultilevel"/>
    <w:tmpl w:val="1D7A4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D6FC0"/>
    <w:multiLevelType w:val="hybridMultilevel"/>
    <w:tmpl w:val="D938E754"/>
    <w:lvl w:ilvl="0" w:tplc="CA0CBD10">
      <w:numFmt w:val="bullet"/>
      <w:lvlText w:val="-"/>
      <w:lvlJc w:val="left"/>
      <w:pPr>
        <w:ind w:left="360" w:hanging="360"/>
      </w:pPr>
      <w:rPr>
        <w:rFonts w:ascii="Times New Roman" w:eastAsiaTheme="minorHAnsi"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8EA01C1"/>
    <w:multiLevelType w:val="hybridMultilevel"/>
    <w:tmpl w:val="07EE9D60"/>
    <w:lvl w:ilvl="0" w:tplc="122A1612">
      <w:start w:val="23"/>
      <w:numFmt w:val="bullet"/>
      <w:lvlText w:val="-"/>
      <w:lvlJc w:val="left"/>
      <w:pPr>
        <w:ind w:left="5685" w:hanging="360"/>
      </w:pPr>
      <w:rPr>
        <w:rFonts w:ascii="Cambria" w:eastAsia="Times New Roman" w:hAnsi="Cambria" w:cs="Arial" w:hint="default"/>
      </w:rPr>
    </w:lvl>
    <w:lvl w:ilvl="1" w:tplc="04100003" w:tentative="1">
      <w:start w:val="1"/>
      <w:numFmt w:val="bullet"/>
      <w:lvlText w:val="o"/>
      <w:lvlJc w:val="left"/>
      <w:pPr>
        <w:ind w:left="6405" w:hanging="360"/>
      </w:pPr>
      <w:rPr>
        <w:rFonts w:ascii="Courier New" w:hAnsi="Courier New" w:cs="Courier New" w:hint="default"/>
      </w:rPr>
    </w:lvl>
    <w:lvl w:ilvl="2" w:tplc="04100005" w:tentative="1">
      <w:start w:val="1"/>
      <w:numFmt w:val="bullet"/>
      <w:lvlText w:val=""/>
      <w:lvlJc w:val="left"/>
      <w:pPr>
        <w:ind w:left="7125" w:hanging="360"/>
      </w:pPr>
      <w:rPr>
        <w:rFonts w:ascii="Wingdings" w:hAnsi="Wingdings" w:hint="default"/>
      </w:rPr>
    </w:lvl>
    <w:lvl w:ilvl="3" w:tplc="04100001" w:tentative="1">
      <w:start w:val="1"/>
      <w:numFmt w:val="bullet"/>
      <w:lvlText w:val=""/>
      <w:lvlJc w:val="left"/>
      <w:pPr>
        <w:ind w:left="7845" w:hanging="360"/>
      </w:pPr>
      <w:rPr>
        <w:rFonts w:ascii="Symbol" w:hAnsi="Symbol" w:hint="default"/>
      </w:rPr>
    </w:lvl>
    <w:lvl w:ilvl="4" w:tplc="04100003" w:tentative="1">
      <w:start w:val="1"/>
      <w:numFmt w:val="bullet"/>
      <w:lvlText w:val="o"/>
      <w:lvlJc w:val="left"/>
      <w:pPr>
        <w:ind w:left="8565" w:hanging="360"/>
      </w:pPr>
      <w:rPr>
        <w:rFonts w:ascii="Courier New" w:hAnsi="Courier New" w:cs="Courier New" w:hint="default"/>
      </w:rPr>
    </w:lvl>
    <w:lvl w:ilvl="5" w:tplc="04100005" w:tentative="1">
      <w:start w:val="1"/>
      <w:numFmt w:val="bullet"/>
      <w:lvlText w:val=""/>
      <w:lvlJc w:val="left"/>
      <w:pPr>
        <w:ind w:left="9285" w:hanging="360"/>
      </w:pPr>
      <w:rPr>
        <w:rFonts w:ascii="Wingdings" w:hAnsi="Wingdings" w:hint="default"/>
      </w:rPr>
    </w:lvl>
    <w:lvl w:ilvl="6" w:tplc="04100001" w:tentative="1">
      <w:start w:val="1"/>
      <w:numFmt w:val="bullet"/>
      <w:lvlText w:val=""/>
      <w:lvlJc w:val="left"/>
      <w:pPr>
        <w:ind w:left="10005" w:hanging="360"/>
      </w:pPr>
      <w:rPr>
        <w:rFonts w:ascii="Symbol" w:hAnsi="Symbol" w:hint="default"/>
      </w:rPr>
    </w:lvl>
    <w:lvl w:ilvl="7" w:tplc="04100003" w:tentative="1">
      <w:start w:val="1"/>
      <w:numFmt w:val="bullet"/>
      <w:lvlText w:val="o"/>
      <w:lvlJc w:val="left"/>
      <w:pPr>
        <w:ind w:left="10725" w:hanging="360"/>
      </w:pPr>
      <w:rPr>
        <w:rFonts w:ascii="Courier New" w:hAnsi="Courier New" w:cs="Courier New" w:hint="default"/>
      </w:rPr>
    </w:lvl>
    <w:lvl w:ilvl="8" w:tplc="04100005" w:tentative="1">
      <w:start w:val="1"/>
      <w:numFmt w:val="bullet"/>
      <w:lvlText w:val=""/>
      <w:lvlJc w:val="left"/>
      <w:pPr>
        <w:ind w:left="11445" w:hanging="360"/>
      </w:pPr>
      <w:rPr>
        <w:rFonts w:ascii="Wingdings" w:hAnsi="Wingdings" w:hint="default"/>
      </w:rPr>
    </w:lvl>
  </w:abstractNum>
  <w:abstractNum w:abstractNumId="5" w15:restartNumberingAfterBreak="0">
    <w:nsid w:val="48953ED3"/>
    <w:multiLevelType w:val="hybridMultilevel"/>
    <w:tmpl w:val="B4D045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A0E5D"/>
    <w:multiLevelType w:val="hybridMultilevel"/>
    <w:tmpl w:val="BDD63A70"/>
    <w:lvl w:ilvl="0" w:tplc="1CEE4086">
      <w:numFmt w:val="bullet"/>
      <w:lvlText w:val="-"/>
      <w:lvlJc w:val="left"/>
      <w:pPr>
        <w:ind w:left="6030" w:hanging="360"/>
      </w:pPr>
      <w:rPr>
        <w:rFonts w:ascii="Times New Roman" w:eastAsia="Times New Roman" w:hAnsi="Times New Roman"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7" w15:restartNumberingAfterBreak="0">
    <w:nsid w:val="659C642E"/>
    <w:multiLevelType w:val="hybridMultilevel"/>
    <w:tmpl w:val="F92EEB8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077FD7"/>
    <w:multiLevelType w:val="hybridMultilevel"/>
    <w:tmpl w:val="07745DD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8A"/>
    <w:rsid w:val="00005B46"/>
    <w:rsid w:val="00011605"/>
    <w:rsid w:val="000177D8"/>
    <w:rsid w:val="0005562A"/>
    <w:rsid w:val="00073F14"/>
    <w:rsid w:val="0008493F"/>
    <w:rsid w:val="000D6F60"/>
    <w:rsid w:val="0010504A"/>
    <w:rsid w:val="001141FC"/>
    <w:rsid w:val="00131D95"/>
    <w:rsid w:val="00144590"/>
    <w:rsid w:val="00144A1A"/>
    <w:rsid w:val="001652C6"/>
    <w:rsid w:val="00192302"/>
    <w:rsid w:val="001B0E6C"/>
    <w:rsid w:val="001B68EC"/>
    <w:rsid w:val="001E7A5B"/>
    <w:rsid w:val="00206AC4"/>
    <w:rsid w:val="00206EAD"/>
    <w:rsid w:val="00216848"/>
    <w:rsid w:val="00220A42"/>
    <w:rsid w:val="00237AA8"/>
    <w:rsid w:val="00243575"/>
    <w:rsid w:val="00287F91"/>
    <w:rsid w:val="002A2958"/>
    <w:rsid w:val="002A61E9"/>
    <w:rsid w:val="002C26AF"/>
    <w:rsid w:val="003119AB"/>
    <w:rsid w:val="00317442"/>
    <w:rsid w:val="00370D7E"/>
    <w:rsid w:val="003756E7"/>
    <w:rsid w:val="00383ABC"/>
    <w:rsid w:val="00395F48"/>
    <w:rsid w:val="003C31AF"/>
    <w:rsid w:val="003C4DF8"/>
    <w:rsid w:val="003D6DE1"/>
    <w:rsid w:val="00401C14"/>
    <w:rsid w:val="00473AF7"/>
    <w:rsid w:val="00477EA6"/>
    <w:rsid w:val="004804F4"/>
    <w:rsid w:val="00482CA3"/>
    <w:rsid w:val="00491255"/>
    <w:rsid w:val="004A3AAA"/>
    <w:rsid w:val="004A3E77"/>
    <w:rsid w:val="004C786A"/>
    <w:rsid w:val="00511067"/>
    <w:rsid w:val="00562AC9"/>
    <w:rsid w:val="005A093C"/>
    <w:rsid w:val="005B0B1F"/>
    <w:rsid w:val="005B12B4"/>
    <w:rsid w:val="005B7A29"/>
    <w:rsid w:val="005C6A15"/>
    <w:rsid w:val="005D1C90"/>
    <w:rsid w:val="005D278F"/>
    <w:rsid w:val="005D6263"/>
    <w:rsid w:val="005F646F"/>
    <w:rsid w:val="0064480B"/>
    <w:rsid w:val="00655002"/>
    <w:rsid w:val="00685F26"/>
    <w:rsid w:val="00692D7C"/>
    <w:rsid w:val="00695941"/>
    <w:rsid w:val="006A6A96"/>
    <w:rsid w:val="006B031E"/>
    <w:rsid w:val="006B566F"/>
    <w:rsid w:val="006D2552"/>
    <w:rsid w:val="007547DE"/>
    <w:rsid w:val="00770A1A"/>
    <w:rsid w:val="007869EA"/>
    <w:rsid w:val="00793FA2"/>
    <w:rsid w:val="007B4C9B"/>
    <w:rsid w:val="007C0A20"/>
    <w:rsid w:val="007D1153"/>
    <w:rsid w:val="007D25B6"/>
    <w:rsid w:val="007D74BC"/>
    <w:rsid w:val="008103C9"/>
    <w:rsid w:val="0081202F"/>
    <w:rsid w:val="00823F94"/>
    <w:rsid w:val="0084232C"/>
    <w:rsid w:val="00843047"/>
    <w:rsid w:val="00864B5C"/>
    <w:rsid w:val="00864F89"/>
    <w:rsid w:val="0086687D"/>
    <w:rsid w:val="008739D4"/>
    <w:rsid w:val="0088174A"/>
    <w:rsid w:val="008A6B82"/>
    <w:rsid w:val="008C3F9B"/>
    <w:rsid w:val="008E2B15"/>
    <w:rsid w:val="008F5DAA"/>
    <w:rsid w:val="009114B8"/>
    <w:rsid w:val="00912168"/>
    <w:rsid w:val="00914FD4"/>
    <w:rsid w:val="00915048"/>
    <w:rsid w:val="0094279F"/>
    <w:rsid w:val="0094454A"/>
    <w:rsid w:val="009551B8"/>
    <w:rsid w:val="0095601A"/>
    <w:rsid w:val="0097450C"/>
    <w:rsid w:val="00981711"/>
    <w:rsid w:val="009A2EBF"/>
    <w:rsid w:val="009A34BF"/>
    <w:rsid w:val="009C02CD"/>
    <w:rsid w:val="009D08FA"/>
    <w:rsid w:val="009E5213"/>
    <w:rsid w:val="009F1BA7"/>
    <w:rsid w:val="00A0460F"/>
    <w:rsid w:val="00A1164E"/>
    <w:rsid w:val="00A2009D"/>
    <w:rsid w:val="00A319FA"/>
    <w:rsid w:val="00A512DE"/>
    <w:rsid w:val="00AB5995"/>
    <w:rsid w:val="00AD57C4"/>
    <w:rsid w:val="00AF239D"/>
    <w:rsid w:val="00B11FD4"/>
    <w:rsid w:val="00B16142"/>
    <w:rsid w:val="00B24439"/>
    <w:rsid w:val="00B25251"/>
    <w:rsid w:val="00B2566D"/>
    <w:rsid w:val="00B25738"/>
    <w:rsid w:val="00B34A44"/>
    <w:rsid w:val="00B46E4B"/>
    <w:rsid w:val="00B657F0"/>
    <w:rsid w:val="00B73D73"/>
    <w:rsid w:val="00B75884"/>
    <w:rsid w:val="00B82DCA"/>
    <w:rsid w:val="00B92A85"/>
    <w:rsid w:val="00B96F09"/>
    <w:rsid w:val="00BA10F3"/>
    <w:rsid w:val="00BF704B"/>
    <w:rsid w:val="00BF75CB"/>
    <w:rsid w:val="00C3764B"/>
    <w:rsid w:val="00C50484"/>
    <w:rsid w:val="00C53337"/>
    <w:rsid w:val="00C71E74"/>
    <w:rsid w:val="00C9147C"/>
    <w:rsid w:val="00C931D5"/>
    <w:rsid w:val="00CC0D24"/>
    <w:rsid w:val="00CC2061"/>
    <w:rsid w:val="00CD0AA2"/>
    <w:rsid w:val="00CE2A9C"/>
    <w:rsid w:val="00CE4108"/>
    <w:rsid w:val="00CF4F9E"/>
    <w:rsid w:val="00CF7CC9"/>
    <w:rsid w:val="00D039AD"/>
    <w:rsid w:val="00D11C64"/>
    <w:rsid w:val="00D363E8"/>
    <w:rsid w:val="00D9044B"/>
    <w:rsid w:val="00D93832"/>
    <w:rsid w:val="00DC1E45"/>
    <w:rsid w:val="00DD1A0C"/>
    <w:rsid w:val="00E041CE"/>
    <w:rsid w:val="00E748AA"/>
    <w:rsid w:val="00E777EC"/>
    <w:rsid w:val="00E8721A"/>
    <w:rsid w:val="00E934E2"/>
    <w:rsid w:val="00E9628A"/>
    <w:rsid w:val="00EA5343"/>
    <w:rsid w:val="00ED4B48"/>
    <w:rsid w:val="00EE09D7"/>
    <w:rsid w:val="00F0196B"/>
    <w:rsid w:val="00F15D6D"/>
    <w:rsid w:val="00F44D1A"/>
    <w:rsid w:val="00F66FDC"/>
    <w:rsid w:val="00F72A88"/>
    <w:rsid w:val="00F74C59"/>
    <w:rsid w:val="00F855BC"/>
    <w:rsid w:val="00F95FAC"/>
    <w:rsid w:val="00F97087"/>
    <w:rsid w:val="00FA1C64"/>
    <w:rsid w:val="00FA5259"/>
    <w:rsid w:val="00FB2A54"/>
    <w:rsid w:val="00FB3F0E"/>
    <w:rsid w:val="00FC1BAD"/>
    <w:rsid w:val="00FE3A1C"/>
    <w:rsid w:val="00FE58F2"/>
    <w:rsid w:val="00FE5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5C076"/>
  <w15:docId w15:val="{C98AA8AB-BFFC-4E1E-8C7F-BE738DFB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E5213"/>
    <w:rPr>
      <w:sz w:val="24"/>
      <w:szCs w:val="24"/>
    </w:rPr>
  </w:style>
  <w:style w:type="paragraph" w:styleId="Titolo1">
    <w:name w:val="heading 1"/>
    <w:basedOn w:val="Normale"/>
    <w:next w:val="Normale"/>
    <w:link w:val="Titolo1Carattere"/>
    <w:qFormat/>
    <w:rsid w:val="00FC1BAD"/>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81202F"/>
    <w:pPr>
      <w:keepNext/>
      <w:jc w:val="center"/>
      <w:outlineLvl w:val="1"/>
    </w:pPr>
    <w:rPr>
      <w:rFonts w:ascii="Arial" w:hAnsi="Arial"/>
      <w:b/>
      <w:color w:val="000080"/>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71E74"/>
    <w:pPr>
      <w:tabs>
        <w:tab w:val="center" w:pos="4819"/>
        <w:tab w:val="right" w:pos="9638"/>
      </w:tabs>
    </w:pPr>
  </w:style>
  <w:style w:type="paragraph" w:styleId="Pidipagina">
    <w:name w:val="footer"/>
    <w:basedOn w:val="Normale"/>
    <w:rsid w:val="00C71E74"/>
    <w:pPr>
      <w:tabs>
        <w:tab w:val="center" w:pos="4819"/>
        <w:tab w:val="right" w:pos="9638"/>
      </w:tabs>
    </w:pPr>
  </w:style>
  <w:style w:type="character" w:styleId="Collegamentoipertestuale">
    <w:name w:val="Hyperlink"/>
    <w:basedOn w:val="Carpredefinitoparagrafo"/>
    <w:rsid w:val="00C71E74"/>
    <w:rPr>
      <w:color w:val="0000FF"/>
      <w:u w:val="single"/>
    </w:rPr>
  </w:style>
  <w:style w:type="paragraph" w:styleId="Testofumetto">
    <w:name w:val="Balloon Text"/>
    <w:basedOn w:val="Normale"/>
    <w:semiHidden/>
    <w:rsid w:val="00C71E74"/>
    <w:rPr>
      <w:rFonts w:ascii="Tahoma" w:hAnsi="Tahoma" w:cs="Tahoma"/>
      <w:sz w:val="16"/>
      <w:szCs w:val="16"/>
    </w:rPr>
  </w:style>
  <w:style w:type="character" w:styleId="Enfasigrassetto">
    <w:name w:val="Strong"/>
    <w:basedOn w:val="Carpredefinitoparagrafo"/>
    <w:qFormat/>
    <w:rsid w:val="00F74C59"/>
    <w:rPr>
      <w:b/>
      <w:bCs/>
    </w:rPr>
  </w:style>
  <w:style w:type="character" w:customStyle="1" w:styleId="Titolo2Carattere">
    <w:name w:val="Titolo 2 Carattere"/>
    <w:basedOn w:val="Carpredefinitoparagrafo"/>
    <w:link w:val="Titolo2"/>
    <w:rsid w:val="0081202F"/>
    <w:rPr>
      <w:rFonts w:ascii="Arial" w:hAnsi="Arial"/>
      <w:b/>
      <w:color w:val="000080"/>
      <w:sz w:val="26"/>
    </w:rPr>
  </w:style>
  <w:style w:type="character" w:customStyle="1" w:styleId="Titolo1Carattere">
    <w:name w:val="Titolo 1 Carattere"/>
    <w:basedOn w:val="Carpredefinitoparagrafo"/>
    <w:link w:val="Titolo1"/>
    <w:rsid w:val="00FC1BAD"/>
    <w:rPr>
      <w:rFonts w:ascii="Arial" w:hAnsi="Arial" w:cs="Arial"/>
      <w:b/>
      <w:bCs/>
      <w:kern w:val="32"/>
      <w:sz w:val="32"/>
      <w:szCs w:val="32"/>
    </w:rPr>
  </w:style>
  <w:style w:type="paragraph" w:styleId="Titolo">
    <w:name w:val="Title"/>
    <w:basedOn w:val="Normale"/>
    <w:link w:val="TitoloCarattere"/>
    <w:qFormat/>
    <w:rsid w:val="00FC1BAD"/>
    <w:pPr>
      <w:jc w:val="center"/>
    </w:pPr>
    <w:rPr>
      <w:rFonts w:ascii="Tahoma" w:hAnsi="Tahoma"/>
      <w:b/>
      <w:color w:val="008000"/>
      <w:sz w:val="48"/>
    </w:rPr>
  </w:style>
  <w:style w:type="character" w:customStyle="1" w:styleId="TitoloCarattere">
    <w:name w:val="Titolo Carattere"/>
    <w:basedOn w:val="Carpredefinitoparagrafo"/>
    <w:link w:val="Titolo"/>
    <w:rsid w:val="00FC1BAD"/>
    <w:rPr>
      <w:rFonts w:ascii="Tahoma" w:hAnsi="Tahoma"/>
      <w:b/>
      <w:color w:val="008000"/>
      <w:sz w:val="48"/>
      <w:szCs w:val="24"/>
    </w:rPr>
  </w:style>
  <w:style w:type="paragraph" w:styleId="Paragrafoelenco">
    <w:name w:val="List Paragraph"/>
    <w:basedOn w:val="Normale"/>
    <w:uiPriority w:val="34"/>
    <w:qFormat/>
    <w:rsid w:val="00685F26"/>
    <w:pPr>
      <w:ind w:left="720"/>
    </w:pPr>
    <w:rPr>
      <w:rFonts w:eastAsiaTheme="minorHAnsi"/>
    </w:rPr>
  </w:style>
  <w:style w:type="paragraph" w:styleId="NormaleWeb">
    <w:name w:val="Normal (Web)"/>
    <w:basedOn w:val="Normale"/>
    <w:uiPriority w:val="99"/>
    <w:rsid w:val="00477EA6"/>
    <w:pPr>
      <w:spacing w:before="100" w:beforeAutospacing="1" w:after="100" w:afterAutospacing="1" w:line="1" w:lineRule="atLeast"/>
      <w:ind w:leftChars="-1" w:left="-1" w:hangingChars="1" w:hanging="1"/>
      <w:textAlignment w:val="top"/>
      <w:outlineLvl w:val="0"/>
    </w:pPr>
    <w:rPr>
      <w:rFonts w:cs="Time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2725">
      <w:bodyDiv w:val="1"/>
      <w:marLeft w:val="0"/>
      <w:marRight w:val="0"/>
      <w:marTop w:val="0"/>
      <w:marBottom w:val="0"/>
      <w:divBdr>
        <w:top w:val="none" w:sz="0" w:space="0" w:color="auto"/>
        <w:left w:val="none" w:sz="0" w:space="0" w:color="auto"/>
        <w:bottom w:val="none" w:sz="0" w:space="0" w:color="auto"/>
        <w:right w:val="none" w:sz="0" w:space="0" w:color="auto"/>
      </w:divBdr>
    </w:div>
    <w:div w:id="404837089">
      <w:bodyDiv w:val="1"/>
      <w:marLeft w:val="0"/>
      <w:marRight w:val="0"/>
      <w:marTop w:val="0"/>
      <w:marBottom w:val="0"/>
      <w:divBdr>
        <w:top w:val="none" w:sz="0" w:space="0" w:color="auto"/>
        <w:left w:val="none" w:sz="0" w:space="0" w:color="auto"/>
        <w:bottom w:val="none" w:sz="0" w:space="0" w:color="auto"/>
        <w:right w:val="none" w:sz="0" w:space="0" w:color="auto"/>
      </w:divBdr>
    </w:div>
    <w:div w:id="702172949">
      <w:bodyDiv w:val="1"/>
      <w:marLeft w:val="0"/>
      <w:marRight w:val="0"/>
      <w:marTop w:val="0"/>
      <w:marBottom w:val="0"/>
      <w:divBdr>
        <w:top w:val="none" w:sz="0" w:space="0" w:color="auto"/>
        <w:left w:val="none" w:sz="0" w:space="0" w:color="auto"/>
        <w:bottom w:val="none" w:sz="0" w:space="0" w:color="auto"/>
        <w:right w:val="none" w:sz="0" w:space="0" w:color="auto"/>
      </w:divBdr>
    </w:div>
    <w:div w:id="1413232746">
      <w:bodyDiv w:val="1"/>
      <w:marLeft w:val="0"/>
      <w:marRight w:val="0"/>
      <w:marTop w:val="0"/>
      <w:marBottom w:val="0"/>
      <w:divBdr>
        <w:top w:val="none" w:sz="0" w:space="0" w:color="auto"/>
        <w:left w:val="none" w:sz="0" w:space="0" w:color="auto"/>
        <w:bottom w:val="none" w:sz="0" w:space="0" w:color="auto"/>
        <w:right w:val="none" w:sz="0" w:space="0" w:color="auto"/>
      </w:divBdr>
    </w:div>
    <w:div w:id="1457142010">
      <w:bodyDiv w:val="1"/>
      <w:marLeft w:val="0"/>
      <w:marRight w:val="0"/>
      <w:marTop w:val="0"/>
      <w:marBottom w:val="0"/>
      <w:divBdr>
        <w:top w:val="none" w:sz="0" w:space="0" w:color="auto"/>
        <w:left w:val="none" w:sz="0" w:space="0" w:color="auto"/>
        <w:bottom w:val="none" w:sz="0" w:space="0" w:color="auto"/>
        <w:right w:val="none" w:sz="0" w:space="0" w:color="auto"/>
      </w:divBdr>
    </w:div>
    <w:div w:id="1670525026">
      <w:bodyDiv w:val="1"/>
      <w:marLeft w:val="0"/>
      <w:marRight w:val="0"/>
      <w:marTop w:val="0"/>
      <w:marBottom w:val="0"/>
      <w:divBdr>
        <w:top w:val="none" w:sz="0" w:space="0" w:color="auto"/>
        <w:left w:val="none" w:sz="0" w:space="0" w:color="auto"/>
        <w:bottom w:val="none" w:sz="0" w:space="0" w:color="auto"/>
        <w:right w:val="none" w:sz="0" w:space="0" w:color="auto"/>
      </w:divBdr>
      <w:divsChild>
        <w:div w:id="81682684">
          <w:marLeft w:val="432"/>
          <w:marRight w:val="0"/>
          <w:marTop w:val="120"/>
          <w:marBottom w:val="0"/>
          <w:divBdr>
            <w:top w:val="none" w:sz="0" w:space="0" w:color="auto"/>
            <w:left w:val="none" w:sz="0" w:space="0" w:color="auto"/>
            <w:bottom w:val="none" w:sz="0" w:space="0" w:color="auto"/>
            <w:right w:val="none" w:sz="0" w:space="0" w:color="auto"/>
          </w:divBdr>
        </w:div>
        <w:div w:id="569006017">
          <w:marLeft w:val="432"/>
          <w:marRight w:val="0"/>
          <w:marTop w:val="120"/>
          <w:marBottom w:val="0"/>
          <w:divBdr>
            <w:top w:val="none" w:sz="0" w:space="0" w:color="auto"/>
            <w:left w:val="none" w:sz="0" w:space="0" w:color="auto"/>
            <w:bottom w:val="none" w:sz="0" w:space="0" w:color="auto"/>
            <w:right w:val="none" w:sz="0" w:space="0" w:color="auto"/>
          </w:divBdr>
        </w:div>
        <w:div w:id="212515139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nfcommercio-er.it" TargetMode="External"/><Relationship Id="rId1" Type="http://schemas.openxmlformats.org/officeDocument/2006/relationships/hyperlink" Target="mailto:emiliaromagna@confcommerci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1CDC-479F-425B-87FA-51D3F912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5142</CharactersWithSpaces>
  <SharedDoc>false</SharedDoc>
  <HLinks>
    <vt:vector size="6" baseType="variant">
      <vt:variant>
        <vt:i4>1900596</vt:i4>
      </vt:variant>
      <vt:variant>
        <vt:i4>0</vt:i4>
      </vt:variant>
      <vt:variant>
        <vt:i4>0</vt:i4>
      </vt:variant>
      <vt:variant>
        <vt:i4>5</vt:i4>
      </vt:variant>
      <vt:variant>
        <vt:lpwstr>mailto:emiliaromagna@confcommercio.it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Mandreoli</dc:creator>
  <cp:lastModifiedBy>Marta Caroselli</cp:lastModifiedBy>
  <cp:revision>4</cp:revision>
  <cp:lastPrinted>2019-12-19T13:43:00Z</cp:lastPrinted>
  <dcterms:created xsi:type="dcterms:W3CDTF">2022-01-19T14:07:00Z</dcterms:created>
  <dcterms:modified xsi:type="dcterms:W3CDTF">2022-01-19T14:13:00Z</dcterms:modified>
</cp:coreProperties>
</file>