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5DA0" w14:textId="466C3CAF" w:rsidR="00522C87" w:rsidRPr="00522C87" w:rsidRDefault="00522C87" w:rsidP="00522C87">
      <w:pPr>
        <w:pStyle w:val="NormaleWeb"/>
        <w:rPr>
          <w:sz w:val="20"/>
          <w:szCs w:val="2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9F3D53" wp14:editId="6D2619A3">
            <wp:simplePos x="0" y="0"/>
            <wp:positionH relativeFrom="margin">
              <wp:posOffset>4813935</wp:posOffset>
            </wp:positionH>
            <wp:positionV relativeFrom="margin">
              <wp:posOffset>175895</wp:posOffset>
            </wp:positionV>
            <wp:extent cx="1264920" cy="6127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1"/>
                    <a:stretch/>
                  </pic:blipFill>
                  <pic:spPr bwMode="auto">
                    <a:xfrm>
                      <a:off x="0" y="0"/>
                      <a:ext cx="1264920" cy="61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116572F" wp14:editId="6A21C28E">
            <wp:simplePos x="0" y="0"/>
            <wp:positionH relativeFrom="margin">
              <wp:posOffset>9525</wp:posOffset>
            </wp:positionH>
            <wp:positionV relativeFrom="margin">
              <wp:posOffset>-257175</wp:posOffset>
            </wp:positionV>
            <wp:extent cx="2597150" cy="933450"/>
            <wp:effectExtent l="0" t="0" r="0" b="0"/>
            <wp:wrapSquare wrapText="bothSides"/>
            <wp:docPr id="3" name="Immagine 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t xml:space="preserve">                                          </w:t>
      </w:r>
      <w:r w:rsidRPr="00522C87">
        <w:rPr>
          <w:noProof/>
          <w:sz w:val="20"/>
          <w:szCs w:val="20"/>
        </w:rPr>
        <w:t xml:space="preserve">in collaborazione </w:t>
      </w:r>
      <w:r>
        <w:rPr>
          <w:noProof/>
          <w:sz w:val="20"/>
          <w:szCs w:val="20"/>
        </w:rPr>
        <w:t>con</w:t>
      </w:r>
    </w:p>
    <w:p w14:paraId="2AE47B67" w14:textId="77777777" w:rsidR="00522C87" w:rsidRDefault="00522C87" w:rsidP="00522C87">
      <w:pPr>
        <w:pStyle w:val="NormaleWeb"/>
        <w:rPr>
          <w:sz w:val="32"/>
          <w:szCs w:val="32"/>
        </w:rPr>
      </w:pPr>
    </w:p>
    <w:p w14:paraId="4644A638" w14:textId="69B26485" w:rsidR="00522C87" w:rsidRDefault="00522C87" w:rsidP="00522C87">
      <w:pPr>
        <w:pStyle w:val="NormaleWeb"/>
        <w:rPr>
          <w:sz w:val="32"/>
          <w:szCs w:val="32"/>
        </w:rPr>
      </w:pPr>
    </w:p>
    <w:p w14:paraId="7BC72824" w14:textId="49D72123" w:rsidR="00522C87" w:rsidRPr="00522C87" w:rsidRDefault="00522C87" w:rsidP="00522C87">
      <w:pPr>
        <w:pStyle w:val="NormaleWeb"/>
        <w:jc w:val="center"/>
        <w:rPr>
          <w:sz w:val="32"/>
          <w:szCs w:val="32"/>
          <w:u w:val="single"/>
        </w:rPr>
      </w:pPr>
      <w:r w:rsidRPr="00522C87">
        <w:rPr>
          <w:sz w:val="32"/>
          <w:szCs w:val="32"/>
          <w:u w:val="single"/>
        </w:rPr>
        <w:t>COMUNICATO STAMPA</w:t>
      </w:r>
    </w:p>
    <w:p w14:paraId="2EC39E86" w14:textId="7A5FDDF6" w:rsidR="00522C87" w:rsidRPr="00B30875" w:rsidRDefault="00522C87" w:rsidP="00522C87">
      <w:pPr>
        <w:pStyle w:val="NormaleWeb"/>
        <w:contextualSpacing/>
        <w:jc w:val="center"/>
        <w:rPr>
          <w:rFonts w:ascii="Bookman Old Style" w:hAnsi="Bookman Old Style"/>
          <w:sz w:val="32"/>
          <w:szCs w:val="32"/>
        </w:rPr>
      </w:pPr>
      <w:proofErr w:type="gramStart"/>
      <w:r w:rsidRPr="00B30875">
        <w:rPr>
          <w:rFonts w:ascii="Bookman Old Style" w:hAnsi="Bookman Old Style"/>
          <w:b/>
          <w:bCs/>
          <w:sz w:val="32"/>
          <w:szCs w:val="32"/>
        </w:rPr>
        <w:t>8°</w:t>
      </w:r>
      <w:proofErr w:type="gramEnd"/>
      <w:r w:rsidRPr="00B30875">
        <w:rPr>
          <w:rFonts w:ascii="Bookman Old Style" w:hAnsi="Bookman Old Style"/>
          <w:b/>
          <w:bCs/>
          <w:sz w:val="32"/>
          <w:szCs w:val="32"/>
        </w:rPr>
        <w:t>BILANCIO SOCIALE ANASTE</w:t>
      </w:r>
      <w:r w:rsidR="00DD0948" w:rsidRPr="00B30875">
        <w:rPr>
          <w:rFonts w:ascii="Bookman Old Style" w:hAnsi="Bookman Old Style"/>
          <w:b/>
          <w:bCs/>
          <w:sz w:val="32"/>
          <w:szCs w:val="32"/>
        </w:rPr>
        <w:t xml:space="preserve"> EMILIA ROMAGNA</w:t>
      </w:r>
    </w:p>
    <w:p w14:paraId="596BD299" w14:textId="101AC11E" w:rsidR="00DD0948" w:rsidRPr="00B30875" w:rsidRDefault="00DD0948" w:rsidP="00DD0948">
      <w:pPr>
        <w:pStyle w:val="NormaleWeb"/>
        <w:contextualSpacing/>
        <w:jc w:val="center"/>
        <w:rPr>
          <w:rFonts w:ascii="Bookman Old Style" w:hAnsi="Bookman Old Style"/>
          <w:sz w:val="32"/>
          <w:szCs w:val="32"/>
        </w:rPr>
      </w:pPr>
      <w:r w:rsidRPr="00B30875">
        <w:rPr>
          <w:rFonts w:ascii="Bookman Old Style" w:hAnsi="Bookman Old Style"/>
          <w:sz w:val="32"/>
          <w:szCs w:val="32"/>
        </w:rPr>
        <w:t xml:space="preserve">La presentazione al </w:t>
      </w:r>
      <w:r w:rsidR="00B30875">
        <w:rPr>
          <w:rFonts w:ascii="Bookman Old Style" w:hAnsi="Bookman Old Style"/>
          <w:sz w:val="32"/>
          <w:szCs w:val="32"/>
        </w:rPr>
        <w:t xml:space="preserve">foyer del </w:t>
      </w:r>
      <w:r w:rsidRPr="00B30875">
        <w:rPr>
          <w:rFonts w:ascii="Bookman Old Style" w:hAnsi="Bookman Old Style"/>
          <w:sz w:val="32"/>
          <w:szCs w:val="32"/>
        </w:rPr>
        <w:t xml:space="preserve">Teatro Celebrazioni di </w:t>
      </w:r>
      <w:r w:rsidRPr="00B30875">
        <w:rPr>
          <w:rFonts w:ascii="Bookman Old Style" w:hAnsi="Bookman Old Style"/>
          <w:b/>
          <w:bCs/>
          <w:sz w:val="32"/>
          <w:szCs w:val="32"/>
        </w:rPr>
        <w:t>Bologna, martedì 13 luglio ore 9,30</w:t>
      </w:r>
    </w:p>
    <w:p w14:paraId="44C967E0" w14:textId="36602967" w:rsidR="00DD0948" w:rsidRPr="00B30875" w:rsidRDefault="00DD0948" w:rsidP="00DD0948">
      <w:pPr>
        <w:pStyle w:val="NormaleWeb"/>
        <w:contextualSpacing/>
        <w:jc w:val="center"/>
        <w:rPr>
          <w:rFonts w:ascii="Bookman Old Style" w:hAnsi="Bookman Old Style"/>
          <w:i/>
          <w:iCs/>
          <w:color w:val="4472C4" w:themeColor="accent1"/>
          <w:sz w:val="32"/>
          <w:szCs w:val="32"/>
        </w:rPr>
      </w:pPr>
      <w:r w:rsidRPr="00B30875">
        <w:rPr>
          <w:rFonts w:ascii="Bookman Old Style" w:hAnsi="Bookman Old Style"/>
          <w:i/>
          <w:iCs/>
          <w:color w:val="4472C4" w:themeColor="accent1"/>
          <w:sz w:val="32"/>
          <w:szCs w:val="32"/>
        </w:rPr>
        <w:t xml:space="preserve"> Il documento con dati aggregati di </w:t>
      </w:r>
      <w:r w:rsidRPr="00B30875">
        <w:rPr>
          <w:rFonts w:ascii="Bookman Old Style" w:hAnsi="Bookman Old Style"/>
          <w:b/>
          <w:bCs/>
          <w:i/>
          <w:iCs/>
          <w:color w:val="4472C4" w:themeColor="accent1"/>
          <w:sz w:val="32"/>
          <w:szCs w:val="32"/>
        </w:rPr>
        <w:t>22</w:t>
      </w:r>
      <w:r w:rsidRPr="00B30875">
        <w:rPr>
          <w:rFonts w:ascii="Bookman Old Style" w:hAnsi="Bookman Old Style"/>
          <w:i/>
          <w:iCs/>
          <w:color w:val="4472C4" w:themeColor="accent1"/>
          <w:sz w:val="32"/>
          <w:szCs w:val="32"/>
        </w:rPr>
        <w:t xml:space="preserve"> strutture ANASTE ER, esprime </w:t>
      </w:r>
      <w:r w:rsidR="00B30875">
        <w:rPr>
          <w:rFonts w:ascii="Bookman Old Style" w:hAnsi="Bookman Old Style"/>
          <w:i/>
          <w:iCs/>
          <w:color w:val="4472C4" w:themeColor="accent1"/>
          <w:sz w:val="32"/>
          <w:szCs w:val="32"/>
        </w:rPr>
        <w:t>e analizza</w:t>
      </w:r>
      <w:r w:rsidRPr="00B30875">
        <w:rPr>
          <w:rFonts w:ascii="Bookman Old Style" w:hAnsi="Bookman Old Style"/>
          <w:i/>
          <w:iCs/>
          <w:color w:val="4472C4" w:themeColor="accent1"/>
          <w:sz w:val="32"/>
          <w:szCs w:val="32"/>
        </w:rPr>
        <w:t xml:space="preserve"> tutto il valore sociale, ambientale ed economico delle </w:t>
      </w:r>
      <w:r w:rsidRPr="00B30875">
        <w:rPr>
          <w:rFonts w:ascii="Bookman Old Style" w:hAnsi="Bookman Old Style"/>
          <w:b/>
          <w:bCs/>
          <w:i/>
          <w:iCs/>
          <w:color w:val="4472C4" w:themeColor="accent1"/>
          <w:sz w:val="32"/>
          <w:szCs w:val="32"/>
        </w:rPr>
        <w:t>Strutture della terza età, simbolo di resilienza nell’anno della pandemia</w:t>
      </w:r>
    </w:p>
    <w:p w14:paraId="451FD86B" w14:textId="77777777" w:rsidR="00A47A05" w:rsidRPr="003C7D18" w:rsidRDefault="00A47A05" w:rsidP="00E9131C">
      <w:pPr>
        <w:pStyle w:val="NormaleWeb"/>
        <w:contextualSpacing/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50BEE5B4" w14:textId="57D5BB31" w:rsidR="00792CFE" w:rsidRPr="003C7D18" w:rsidRDefault="00A47A05" w:rsidP="00B30875">
      <w:pPr>
        <w:pStyle w:val="NormaleWeb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i/>
          <w:iCs/>
          <w:sz w:val="32"/>
          <w:szCs w:val="32"/>
        </w:rPr>
        <w:t xml:space="preserve">Bologna, </w:t>
      </w:r>
      <w:r w:rsidRPr="00A47A05">
        <w:rPr>
          <w:rFonts w:asciiTheme="minorHAnsi" w:hAnsiTheme="minorHAnsi"/>
          <w:i/>
          <w:iCs/>
          <w:sz w:val="32"/>
          <w:szCs w:val="32"/>
        </w:rPr>
        <w:t>8 luglio 2021</w:t>
      </w:r>
      <w:r>
        <w:rPr>
          <w:rFonts w:asciiTheme="minorHAnsi" w:hAnsiTheme="minorHAnsi"/>
          <w:sz w:val="32"/>
          <w:szCs w:val="32"/>
        </w:rPr>
        <w:t>_</w:t>
      </w:r>
      <w:r w:rsidR="00E9131C" w:rsidRPr="003C7D18">
        <w:rPr>
          <w:rFonts w:asciiTheme="minorHAnsi" w:hAnsiTheme="minorHAnsi"/>
          <w:sz w:val="32"/>
          <w:szCs w:val="32"/>
        </w:rPr>
        <w:t xml:space="preserve">La pandemia non ferma l’esperienza del </w:t>
      </w:r>
      <w:r w:rsidR="00E9131C" w:rsidRPr="003C7D18">
        <w:rPr>
          <w:rFonts w:asciiTheme="minorHAnsi" w:hAnsiTheme="minorHAnsi"/>
          <w:b/>
          <w:bCs/>
          <w:sz w:val="32"/>
          <w:szCs w:val="32"/>
        </w:rPr>
        <w:t>Bilancio Sociale ANASTE</w:t>
      </w:r>
      <w:r w:rsidR="00E9131C" w:rsidRPr="003C7D18">
        <w:rPr>
          <w:rFonts w:asciiTheme="minorHAnsi" w:hAnsiTheme="minorHAnsi"/>
          <w:sz w:val="32"/>
          <w:szCs w:val="32"/>
        </w:rPr>
        <w:t xml:space="preserve">, l’associazione </w:t>
      </w:r>
      <w:r w:rsidR="00792CFE" w:rsidRPr="003C7D18">
        <w:rPr>
          <w:rFonts w:asciiTheme="minorHAnsi" w:hAnsiTheme="minorHAnsi"/>
          <w:sz w:val="32"/>
          <w:szCs w:val="32"/>
        </w:rPr>
        <w:t xml:space="preserve">che raggruppa in Emilia-Romagna </w:t>
      </w:r>
      <w:r w:rsidR="00792CFE" w:rsidRPr="003C7D18">
        <w:rPr>
          <w:rFonts w:asciiTheme="minorHAnsi" w:hAnsiTheme="minorHAnsi"/>
          <w:b/>
          <w:bCs/>
          <w:sz w:val="32"/>
          <w:szCs w:val="32"/>
        </w:rPr>
        <w:t>37</w:t>
      </w:r>
      <w:r w:rsidR="00792CFE" w:rsidRPr="003C7D18">
        <w:rPr>
          <w:rFonts w:asciiTheme="minorHAnsi" w:hAnsiTheme="minorHAnsi"/>
          <w:sz w:val="32"/>
          <w:szCs w:val="32"/>
        </w:rPr>
        <w:t xml:space="preserve"> </w:t>
      </w:r>
      <w:r w:rsidR="00792CFE" w:rsidRPr="00A47A05">
        <w:rPr>
          <w:rFonts w:asciiTheme="minorHAnsi" w:hAnsiTheme="minorHAnsi"/>
          <w:b/>
          <w:bCs/>
          <w:sz w:val="32"/>
          <w:szCs w:val="32"/>
        </w:rPr>
        <w:t>strutture della terza età</w:t>
      </w:r>
      <w:r>
        <w:rPr>
          <w:rFonts w:asciiTheme="minorHAnsi" w:hAnsiTheme="minorHAnsi"/>
          <w:sz w:val="32"/>
          <w:szCs w:val="32"/>
        </w:rPr>
        <w:t xml:space="preserve"> accomunate dalla missione di promuovere e garantire</w:t>
      </w:r>
      <w:r w:rsidR="00792CFE" w:rsidRPr="003C7D18">
        <w:rPr>
          <w:rFonts w:asciiTheme="minorHAnsi" w:hAnsiTheme="minorHAnsi"/>
          <w:sz w:val="32"/>
          <w:szCs w:val="32"/>
        </w:rPr>
        <w:t xml:space="preserve"> la tutela e il benessere delle persone fragili.</w:t>
      </w:r>
      <w:r w:rsidR="00E9131C" w:rsidRPr="003C7D18">
        <w:rPr>
          <w:rFonts w:asciiTheme="minorHAnsi" w:hAnsiTheme="minorHAnsi"/>
          <w:sz w:val="32"/>
          <w:szCs w:val="32"/>
        </w:rPr>
        <w:t xml:space="preserve"> </w:t>
      </w:r>
    </w:p>
    <w:p w14:paraId="2531983A" w14:textId="446E8148" w:rsidR="00792CFE" w:rsidRPr="003C7D18" w:rsidRDefault="00792CFE" w:rsidP="00B30875">
      <w:pPr>
        <w:pStyle w:val="NormaleWeb"/>
        <w:jc w:val="both"/>
        <w:rPr>
          <w:rFonts w:asciiTheme="minorHAnsi" w:hAnsiTheme="minorHAnsi"/>
          <w:sz w:val="32"/>
          <w:szCs w:val="32"/>
        </w:rPr>
      </w:pPr>
      <w:r w:rsidRPr="003C7D18">
        <w:rPr>
          <w:rFonts w:asciiTheme="minorHAnsi" w:hAnsiTheme="minorHAnsi"/>
          <w:sz w:val="32"/>
          <w:szCs w:val="32"/>
        </w:rPr>
        <w:t xml:space="preserve">Il documento di rendicontazione </w:t>
      </w:r>
      <w:r w:rsidR="00A47A05">
        <w:rPr>
          <w:rFonts w:asciiTheme="minorHAnsi" w:hAnsiTheme="minorHAnsi"/>
          <w:sz w:val="32"/>
          <w:szCs w:val="32"/>
        </w:rPr>
        <w:t xml:space="preserve">ANASTE </w:t>
      </w:r>
      <w:r w:rsidRPr="003C7D18">
        <w:rPr>
          <w:rFonts w:asciiTheme="minorHAnsi" w:hAnsiTheme="minorHAnsi"/>
          <w:sz w:val="32"/>
          <w:szCs w:val="32"/>
        </w:rPr>
        <w:t xml:space="preserve">verrà presentato </w:t>
      </w:r>
      <w:r w:rsidRPr="003C7D18">
        <w:rPr>
          <w:rFonts w:asciiTheme="minorHAnsi" w:hAnsiTheme="minorHAnsi"/>
          <w:b/>
          <w:bCs/>
          <w:sz w:val="32"/>
          <w:szCs w:val="32"/>
        </w:rPr>
        <w:t>martedì 13 luglio</w:t>
      </w:r>
      <w:r w:rsidRPr="003C7D18">
        <w:rPr>
          <w:rFonts w:asciiTheme="minorHAnsi" w:hAnsiTheme="minorHAnsi"/>
          <w:sz w:val="32"/>
          <w:szCs w:val="32"/>
        </w:rPr>
        <w:t xml:space="preserve"> alle ore 9,30 al </w:t>
      </w:r>
      <w:r w:rsidR="00522C87" w:rsidRPr="003C7D18">
        <w:rPr>
          <w:rFonts w:asciiTheme="minorHAnsi" w:hAnsiTheme="minorHAnsi"/>
          <w:b/>
          <w:bCs/>
          <w:sz w:val="32"/>
          <w:szCs w:val="32"/>
        </w:rPr>
        <w:t xml:space="preserve">Teatro </w:t>
      </w:r>
      <w:r w:rsidRPr="003C7D18">
        <w:rPr>
          <w:rFonts w:asciiTheme="minorHAnsi" w:hAnsiTheme="minorHAnsi"/>
          <w:b/>
          <w:bCs/>
          <w:sz w:val="32"/>
          <w:szCs w:val="32"/>
        </w:rPr>
        <w:t>delle C</w:t>
      </w:r>
      <w:r w:rsidR="00522C87" w:rsidRPr="003C7D18">
        <w:rPr>
          <w:rFonts w:asciiTheme="minorHAnsi" w:hAnsiTheme="minorHAnsi"/>
          <w:b/>
          <w:bCs/>
          <w:sz w:val="32"/>
          <w:szCs w:val="32"/>
        </w:rPr>
        <w:t>elebrazioni di Bologna</w:t>
      </w:r>
      <w:r w:rsidRPr="003C7D18">
        <w:rPr>
          <w:rFonts w:asciiTheme="minorHAnsi" w:hAnsiTheme="minorHAnsi"/>
          <w:sz w:val="32"/>
          <w:szCs w:val="32"/>
        </w:rPr>
        <w:t xml:space="preserve">, offrendo alla cittadinanza e agli stessi operatori sanitari una </w:t>
      </w:r>
      <w:r w:rsidR="00DD0948">
        <w:rPr>
          <w:rFonts w:asciiTheme="minorHAnsi" w:hAnsiTheme="minorHAnsi"/>
          <w:sz w:val="32"/>
          <w:szCs w:val="32"/>
        </w:rPr>
        <w:t>“</w:t>
      </w:r>
      <w:r w:rsidR="00522C87" w:rsidRPr="003C7D18">
        <w:rPr>
          <w:rStyle w:val="Enfasigrassetto"/>
          <w:rFonts w:asciiTheme="minorHAnsi" w:hAnsiTheme="minorHAnsi"/>
          <w:sz w:val="32"/>
          <w:szCs w:val="32"/>
        </w:rPr>
        <w:t>fotografia</w:t>
      </w:r>
      <w:r w:rsidR="00DD0948">
        <w:rPr>
          <w:rStyle w:val="Enfasigrassetto"/>
          <w:rFonts w:asciiTheme="minorHAnsi" w:hAnsiTheme="minorHAnsi"/>
          <w:sz w:val="32"/>
          <w:szCs w:val="32"/>
        </w:rPr>
        <w:t>”</w:t>
      </w:r>
      <w:r w:rsidR="00522C87" w:rsidRPr="003C7D18">
        <w:rPr>
          <w:rStyle w:val="Enfasigrassetto"/>
          <w:rFonts w:asciiTheme="minorHAnsi" w:hAnsiTheme="minorHAnsi"/>
          <w:sz w:val="32"/>
          <w:szCs w:val="32"/>
        </w:rPr>
        <w:t xml:space="preserve"> di dati e valori </w:t>
      </w:r>
      <w:r w:rsidR="00B30875">
        <w:rPr>
          <w:rFonts w:asciiTheme="minorHAnsi" w:hAnsiTheme="minorHAnsi"/>
          <w:sz w:val="32"/>
          <w:szCs w:val="32"/>
        </w:rPr>
        <w:t xml:space="preserve">sulle </w:t>
      </w:r>
      <w:proofErr w:type="spellStart"/>
      <w:r w:rsidR="00B30875" w:rsidRPr="003C7D18">
        <w:rPr>
          <w:rFonts w:asciiTheme="minorHAnsi" w:hAnsiTheme="minorHAnsi"/>
          <w:sz w:val="32"/>
          <w:szCs w:val="32"/>
        </w:rPr>
        <w:t>perfomance</w:t>
      </w:r>
      <w:proofErr w:type="spellEnd"/>
      <w:r w:rsidR="00B30875" w:rsidRPr="003C7D18">
        <w:rPr>
          <w:rFonts w:asciiTheme="minorHAnsi" w:hAnsiTheme="minorHAnsi"/>
          <w:sz w:val="32"/>
          <w:szCs w:val="32"/>
        </w:rPr>
        <w:t xml:space="preserve"> social</w:t>
      </w:r>
      <w:r w:rsidR="00B30875">
        <w:rPr>
          <w:rFonts w:asciiTheme="minorHAnsi" w:hAnsiTheme="minorHAnsi"/>
          <w:sz w:val="32"/>
          <w:szCs w:val="32"/>
        </w:rPr>
        <w:t>i</w:t>
      </w:r>
      <w:r w:rsidR="00B30875" w:rsidRPr="003C7D18">
        <w:rPr>
          <w:rFonts w:asciiTheme="minorHAnsi" w:hAnsiTheme="minorHAnsi"/>
          <w:sz w:val="32"/>
          <w:szCs w:val="32"/>
        </w:rPr>
        <w:t>, ambiental</w:t>
      </w:r>
      <w:r w:rsidR="00B30875">
        <w:rPr>
          <w:rFonts w:asciiTheme="minorHAnsi" w:hAnsiTheme="minorHAnsi"/>
          <w:sz w:val="32"/>
          <w:szCs w:val="32"/>
        </w:rPr>
        <w:t>i</w:t>
      </w:r>
      <w:r w:rsidR="00B30875" w:rsidRPr="003C7D18">
        <w:rPr>
          <w:rFonts w:asciiTheme="minorHAnsi" w:hAnsiTheme="minorHAnsi"/>
          <w:sz w:val="32"/>
          <w:szCs w:val="32"/>
        </w:rPr>
        <w:t>, sanitari</w:t>
      </w:r>
      <w:r w:rsidR="00FF4C55">
        <w:rPr>
          <w:rFonts w:asciiTheme="minorHAnsi" w:hAnsiTheme="minorHAnsi"/>
          <w:sz w:val="32"/>
          <w:szCs w:val="32"/>
        </w:rPr>
        <w:t>e</w:t>
      </w:r>
      <w:r w:rsidR="00B30875" w:rsidRPr="003C7D18">
        <w:rPr>
          <w:rFonts w:asciiTheme="minorHAnsi" w:hAnsiTheme="minorHAnsi"/>
          <w:sz w:val="32"/>
          <w:szCs w:val="32"/>
        </w:rPr>
        <w:t xml:space="preserve"> ed economic</w:t>
      </w:r>
      <w:r w:rsidR="00B30875">
        <w:rPr>
          <w:rFonts w:asciiTheme="minorHAnsi" w:hAnsiTheme="minorHAnsi"/>
          <w:sz w:val="32"/>
          <w:szCs w:val="32"/>
        </w:rPr>
        <w:t>he,</w:t>
      </w:r>
      <w:r w:rsidR="00B30875" w:rsidRPr="003C7D18">
        <w:rPr>
          <w:rFonts w:asciiTheme="minorHAnsi" w:hAnsiTheme="minorHAnsi"/>
          <w:sz w:val="32"/>
          <w:szCs w:val="32"/>
        </w:rPr>
        <w:t xml:space="preserve"> </w:t>
      </w:r>
      <w:r w:rsidR="00522C87" w:rsidRPr="003C7D18">
        <w:rPr>
          <w:rStyle w:val="Enfasigrassetto"/>
          <w:rFonts w:asciiTheme="minorHAnsi" w:hAnsiTheme="minorHAnsi"/>
          <w:sz w:val="32"/>
          <w:szCs w:val="32"/>
        </w:rPr>
        <w:t>aggiornat</w:t>
      </w:r>
      <w:r w:rsidR="00B30875">
        <w:rPr>
          <w:rStyle w:val="Enfasigrassetto"/>
          <w:rFonts w:asciiTheme="minorHAnsi" w:hAnsiTheme="minorHAnsi"/>
          <w:sz w:val="32"/>
          <w:szCs w:val="32"/>
        </w:rPr>
        <w:t>i</w:t>
      </w:r>
      <w:r w:rsidR="00522C87" w:rsidRPr="003C7D18">
        <w:rPr>
          <w:rStyle w:val="Enfasigrassetto"/>
          <w:rFonts w:asciiTheme="minorHAnsi" w:hAnsiTheme="minorHAnsi"/>
          <w:sz w:val="32"/>
          <w:szCs w:val="32"/>
        </w:rPr>
        <w:t> </w:t>
      </w:r>
      <w:r w:rsidR="00522C87" w:rsidRPr="00B30875">
        <w:rPr>
          <w:rFonts w:asciiTheme="minorHAnsi" w:hAnsiTheme="minorHAnsi"/>
          <w:b/>
          <w:bCs/>
          <w:sz w:val="32"/>
          <w:szCs w:val="32"/>
        </w:rPr>
        <w:t>al 2020</w:t>
      </w:r>
      <w:r w:rsidR="00A47A05">
        <w:rPr>
          <w:rFonts w:asciiTheme="minorHAnsi" w:hAnsiTheme="minorHAnsi"/>
          <w:sz w:val="32"/>
          <w:szCs w:val="32"/>
        </w:rPr>
        <w:t xml:space="preserve">. </w:t>
      </w:r>
    </w:p>
    <w:p w14:paraId="1F9D44A0" w14:textId="2EA0C9E4" w:rsidR="003C7D18" w:rsidRPr="00B30875" w:rsidRDefault="003C7D18" w:rsidP="003C7D18">
      <w:pPr>
        <w:pStyle w:val="NormaleWeb"/>
        <w:jc w:val="both"/>
        <w:rPr>
          <w:rFonts w:asciiTheme="minorHAnsi" w:hAnsiTheme="minorHAnsi"/>
          <w:b/>
          <w:bCs/>
          <w:sz w:val="32"/>
          <w:szCs w:val="32"/>
        </w:rPr>
      </w:pPr>
      <w:r w:rsidRPr="003C7D18">
        <w:rPr>
          <w:rFonts w:asciiTheme="minorHAnsi" w:hAnsiTheme="minorHAnsi"/>
          <w:sz w:val="32"/>
          <w:szCs w:val="32"/>
        </w:rPr>
        <w:t>Nonostante le criticità legate all’emergenza sanitaria, l’iniziativa</w:t>
      </w:r>
      <w:r w:rsidR="00B30875">
        <w:rPr>
          <w:rFonts w:asciiTheme="minorHAnsi" w:hAnsiTheme="minorHAnsi"/>
          <w:sz w:val="32"/>
          <w:szCs w:val="32"/>
        </w:rPr>
        <w:t xml:space="preserve"> del Bilancio</w:t>
      </w:r>
      <w:r w:rsidRPr="003C7D18">
        <w:rPr>
          <w:rFonts w:asciiTheme="minorHAnsi" w:hAnsiTheme="minorHAnsi"/>
          <w:sz w:val="32"/>
          <w:szCs w:val="32"/>
        </w:rPr>
        <w:t xml:space="preserve"> </w:t>
      </w:r>
      <w:r w:rsidR="00B30875">
        <w:rPr>
          <w:rFonts w:asciiTheme="minorHAnsi" w:hAnsiTheme="minorHAnsi"/>
          <w:sz w:val="32"/>
          <w:szCs w:val="32"/>
        </w:rPr>
        <w:t>giunge all’</w:t>
      </w:r>
      <w:r w:rsidRPr="003C7D18">
        <w:rPr>
          <w:rFonts w:asciiTheme="minorHAnsi" w:hAnsiTheme="minorHAnsi"/>
          <w:b/>
          <w:bCs/>
          <w:sz w:val="32"/>
          <w:szCs w:val="32"/>
        </w:rPr>
        <w:t xml:space="preserve">ottava edizione </w:t>
      </w:r>
      <w:r w:rsidRPr="003C7D18">
        <w:rPr>
          <w:rFonts w:asciiTheme="minorHAnsi" w:hAnsiTheme="minorHAnsi"/>
          <w:sz w:val="32"/>
          <w:szCs w:val="32"/>
        </w:rPr>
        <w:t xml:space="preserve">e registra la partecipazione di ben </w:t>
      </w:r>
      <w:r w:rsidRPr="00B30875">
        <w:rPr>
          <w:rFonts w:asciiTheme="minorHAnsi" w:hAnsiTheme="minorHAnsi"/>
          <w:b/>
          <w:bCs/>
          <w:sz w:val="32"/>
          <w:szCs w:val="32"/>
        </w:rPr>
        <w:t>22 strutture ANASTE</w:t>
      </w:r>
      <w:r w:rsidRPr="003C7D18">
        <w:rPr>
          <w:rFonts w:asciiTheme="minorHAnsi" w:hAnsiTheme="minorHAnsi"/>
          <w:sz w:val="32"/>
          <w:szCs w:val="32"/>
        </w:rPr>
        <w:t xml:space="preserve"> di tutta la regione. Il numero prevalente è di Bologna.</w:t>
      </w:r>
      <w:r w:rsidR="00E21BFB">
        <w:rPr>
          <w:rFonts w:asciiTheme="minorHAnsi" w:hAnsiTheme="minorHAnsi"/>
          <w:sz w:val="32"/>
          <w:szCs w:val="32"/>
        </w:rPr>
        <w:t xml:space="preserve"> Questo il commento del presidente regionale ANASTE </w:t>
      </w:r>
      <w:r w:rsidR="00E21BFB" w:rsidRPr="00B30875">
        <w:rPr>
          <w:rFonts w:asciiTheme="minorHAnsi" w:hAnsiTheme="minorHAnsi"/>
          <w:b/>
          <w:bCs/>
          <w:sz w:val="32"/>
          <w:szCs w:val="32"/>
        </w:rPr>
        <w:t>dott. Gianluigi Pirazzoli:</w:t>
      </w:r>
    </w:p>
    <w:p w14:paraId="7E7676C3" w14:textId="04CB32BB" w:rsidR="003C7D18" w:rsidRPr="00B30875" w:rsidRDefault="00E21BFB" w:rsidP="00B30875">
      <w:pPr>
        <w:pStyle w:val="NormaleWeb"/>
        <w:jc w:val="both"/>
        <w:rPr>
          <w:rFonts w:asciiTheme="minorHAnsi" w:hAnsi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/>
          <w:i/>
          <w:iCs/>
          <w:sz w:val="32"/>
          <w:szCs w:val="32"/>
        </w:rPr>
        <w:t>“</w:t>
      </w:r>
      <w:r w:rsidR="003C7D18" w:rsidRPr="003C7D18">
        <w:rPr>
          <w:rFonts w:asciiTheme="minorHAnsi" w:hAnsiTheme="minorHAnsi"/>
          <w:i/>
          <w:iCs/>
          <w:sz w:val="32"/>
          <w:szCs w:val="32"/>
        </w:rPr>
        <w:t xml:space="preserve">ANASTE nel corso del 2020, </w:t>
      </w:r>
      <w:proofErr w:type="spellStart"/>
      <w:r w:rsidR="003C7D18" w:rsidRPr="003C7D18">
        <w:rPr>
          <w:rFonts w:asciiTheme="minorHAnsi" w:hAnsiTheme="minorHAnsi"/>
          <w:i/>
          <w:iCs/>
          <w:sz w:val="32"/>
          <w:szCs w:val="32"/>
        </w:rPr>
        <w:t>annus</w:t>
      </w:r>
      <w:proofErr w:type="spellEnd"/>
      <w:r w:rsidR="003C7D18" w:rsidRPr="003C7D18">
        <w:rPr>
          <w:rFonts w:asciiTheme="minorHAnsi" w:hAnsiTheme="minorHAnsi"/>
          <w:i/>
          <w:iCs/>
          <w:sz w:val="32"/>
          <w:szCs w:val="32"/>
        </w:rPr>
        <w:t xml:space="preserve"> </w:t>
      </w:r>
      <w:proofErr w:type="spellStart"/>
      <w:r w:rsidR="003C7D18" w:rsidRPr="003C7D18">
        <w:rPr>
          <w:rFonts w:asciiTheme="minorHAnsi" w:hAnsiTheme="minorHAnsi"/>
          <w:i/>
          <w:iCs/>
          <w:sz w:val="32"/>
          <w:szCs w:val="32"/>
        </w:rPr>
        <w:t>horribilis</w:t>
      </w:r>
      <w:proofErr w:type="spellEnd"/>
      <w:r w:rsidR="003C7D18" w:rsidRPr="003C7D18">
        <w:rPr>
          <w:rFonts w:asciiTheme="minorHAnsi" w:hAnsiTheme="minorHAnsi"/>
          <w:i/>
          <w:iCs/>
          <w:sz w:val="32"/>
          <w:szCs w:val="32"/>
        </w:rPr>
        <w:t xml:space="preserve"> ha retto ad uno tsunami di una violenza inaudita, dimostrando </w:t>
      </w:r>
      <w:r w:rsidR="00B30875">
        <w:rPr>
          <w:rFonts w:asciiTheme="minorHAnsi" w:hAnsiTheme="minorHAnsi"/>
          <w:i/>
          <w:iCs/>
          <w:sz w:val="32"/>
          <w:szCs w:val="32"/>
        </w:rPr>
        <w:t xml:space="preserve">capacità di </w:t>
      </w:r>
      <w:r w:rsidR="003C7D18" w:rsidRPr="003C7D18">
        <w:rPr>
          <w:rFonts w:asciiTheme="minorHAnsi" w:hAnsiTheme="minorHAnsi"/>
          <w:i/>
          <w:iCs/>
          <w:sz w:val="32"/>
          <w:szCs w:val="32"/>
        </w:rPr>
        <w:t xml:space="preserve">resilienza ed una professionalità che si manifesta ogni giorno attraverso l’opera incessante delle nostre Risorse umane, nessuna esclusa. </w:t>
      </w:r>
      <w:r w:rsidR="003C7D18">
        <w:rPr>
          <w:rFonts w:asciiTheme="minorHAnsi" w:hAnsiTheme="minorHAnsi"/>
          <w:i/>
          <w:iCs/>
          <w:sz w:val="32"/>
          <w:szCs w:val="32"/>
        </w:rPr>
        <w:t xml:space="preserve">Il Bilancio </w:t>
      </w:r>
      <w:r w:rsidR="00B30875">
        <w:rPr>
          <w:rFonts w:asciiTheme="minorHAnsi" w:hAnsiTheme="minorHAnsi"/>
          <w:i/>
          <w:iCs/>
          <w:sz w:val="32"/>
          <w:szCs w:val="32"/>
        </w:rPr>
        <w:t xml:space="preserve">Sociale </w:t>
      </w:r>
      <w:r w:rsidR="003C7D18">
        <w:rPr>
          <w:rFonts w:asciiTheme="minorHAnsi" w:hAnsiTheme="minorHAnsi"/>
          <w:i/>
          <w:iCs/>
          <w:sz w:val="32"/>
          <w:szCs w:val="32"/>
        </w:rPr>
        <w:t xml:space="preserve">con i suoi numeri dimostra che </w:t>
      </w:r>
      <w:r w:rsidR="00B30875">
        <w:rPr>
          <w:rFonts w:asciiTheme="minorHAnsi" w:hAnsiTheme="minorHAnsi"/>
          <w:i/>
          <w:iCs/>
          <w:sz w:val="32"/>
          <w:szCs w:val="32"/>
        </w:rPr>
        <w:t xml:space="preserve">solo in rete, rimanendo compatti e uniti, si </w:t>
      </w:r>
      <w:r w:rsidR="003C7D18" w:rsidRPr="00E21BFB">
        <w:rPr>
          <w:rFonts w:asciiTheme="minorHAnsi" w:hAnsiTheme="minorHAnsi"/>
          <w:i/>
          <w:iCs/>
          <w:sz w:val="32"/>
          <w:szCs w:val="32"/>
        </w:rPr>
        <w:t xml:space="preserve">possono superare </w:t>
      </w:r>
      <w:r w:rsidR="00B30875">
        <w:rPr>
          <w:rFonts w:asciiTheme="minorHAnsi" w:hAnsiTheme="minorHAnsi"/>
          <w:i/>
          <w:iCs/>
          <w:sz w:val="32"/>
          <w:szCs w:val="32"/>
        </w:rPr>
        <w:t xml:space="preserve">anche </w:t>
      </w:r>
      <w:r w:rsidR="003C7D18" w:rsidRPr="00E21BFB">
        <w:rPr>
          <w:rFonts w:asciiTheme="minorHAnsi" w:hAnsiTheme="minorHAnsi"/>
          <w:i/>
          <w:iCs/>
          <w:sz w:val="32"/>
          <w:szCs w:val="32"/>
        </w:rPr>
        <w:t xml:space="preserve">le sfide più complesse. Questo è il momento di scegliere il nuovo </w:t>
      </w:r>
      <w:r w:rsidR="003C7D18" w:rsidRPr="00E21BFB">
        <w:rPr>
          <w:rFonts w:asciiTheme="minorHAnsi" w:hAnsiTheme="minorHAnsi"/>
          <w:i/>
          <w:iCs/>
          <w:sz w:val="32"/>
          <w:szCs w:val="32"/>
        </w:rPr>
        <w:lastRenderedPageBreak/>
        <w:t>percorso</w:t>
      </w:r>
      <w:r w:rsidRPr="00E21BFB">
        <w:rPr>
          <w:rFonts w:asciiTheme="minorHAnsi" w:hAnsiTheme="minorHAnsi"/>
          <w:i/>
          <w:iCs/>
          <w:sz w:val="32"/>
          <w:szCs w:val="32"/>
        </w:rPr>
        <w:t xml:space="preserve"> per i nostri anziani</w:t>
      </w:r>
      <w:r w:rsidR="003C7D18" w:rsidRPr="00E21BFB">
        <w:rPr>
          <w:rFonts w:asciiTheme="minorHAnsi" w:hAnsiTheme="minorHAnsi"/>
          <w:i/>
          <w:iCs/>
          <w:sz w:val="32"/>
          <w:szCs w:val="32"/>
        </w:rPr>
        <w:t xml:space="preserve">: </w:t>
      </w:r>
      <w:r w:rsidR="003C7D18" w:rsidRPr="00B30875">
        <w:rPr>
          <w:rFonts w:asciiTheme="minorHAnsi" w:hAnsiTheme="minorHAnsi"/>
          <w:b/>
          <w:bCs/>
          <w:i/>
          <w:iCs/>
          <w:sz w:val="32"/>
          <w:szCs w:val="32"/>
        </w:rPr>
        <w:t>non mettere più giorni nella loro vita ma più vita nei loro giorni</w:t>
      </w:r>
      <w:r w:rsidR="00B30875">
        <w:rPr>
          <w:rFonts w:asciiTheme="minorHAnsi" w:hAnsiTheme="minorHAnsi"/>
          <w:b/>
          <w:bCs/>
          <w:i/>
          <w:iCs/>
          <w:sz w:val="32"/>
          <w:szCs w:val="32"/>
        </w:rPr>
        <w:t>”.</w:t>
      </w:r>
    </w:p>
    <w:p w14:paraId="53D48462" w14:textId="37D693E6" w:rsidR="00522C87" w:rsidRPr="003C7D18" w:rsidRDefault="00522C87" w:rsidP="00B30875">
      <w:pPr>
        <w:pStyle w:val="NormaleWeb"/>
        <w:jc w:val="both"/>
        <w:rPr>
          <w:rFonts w:asciiTheme="minorHAnsi" w:hAnsiTheme="minorHAnsi"/>
          <w:sz w:val="32"/>
          <w:szCs w:val="32"/>
        </w:rPr>
      </w:pPr>
      <w:r w:rsidRPr="003C7D18">
        <w:rPr>
          <w:rFonts w:asciiTheme="minorHAnsi" w:hAnsiTheme="minorHAnsi"/>
          <w:sz w:val="32"/>
          <w:szCs w:val="32"/>
        </w:rPr>
        <w:t xml:space="preserve">Lo strumento di rendicontazione è </w:t>
      </w:r>
      <w:r w:rsidR="003C7D18">
        <w:rPr>
          <w:rFonts w:asciiTheme="minorHAnsi" w:hAnsiTheme="minorHAnsi"/>
          <w:sz w:val="32"/>
          <w:szCs w:val="32"/>
        </w:rPr>
        <w:t xml:space="preserve">curato </w:t>
      </w:r>
      <w:r w:rsidRPr="003C7D18">
        <w:rPr>
          <w:rFonts w:asciiTheme="minorHAnsi" w:hAnsiTheme="minorHAnsi"/>
          <w:sz w:val="32"/>
          <w:szCs w:val="32"/>
        </w:rPr>
        <w:t>dagli esperti di </w:t>
      </w:r>
      <w:r w:rsidRPr="003C7D18">
        <w:rPr>
          <w:rStyle w:val="Enfasigrassetto"/>
          <w:rFonts w:asciiTheme="minorHAnsi" w:hAnsiTheme="minorHAnsi"/>
          <w:sz w:val="32"/>
          <w:szCs w:val="32"/>
        </w:rPr>
        <w:t xml:space="preserve">BDO </w:t>
      </w:r>
      <w:proofErr w:type="spellStart"/>
      <w:r w:rsidRPr="003C7D18">
        <w:rPr>
          <w:rStyle w:val="Enfasigrassetto"/>
          <w:rFonts w:asciiTheme="minorHAnsi" w:hAnsiTheme="minorHAnsi"/>
          <w:sz w:val="32"/>
          <w:szCs w:val="32"/>
        </w:rPr>
        <w:t>Sustainable</w:t>
      </w:r>
      <w:proofErr w:type="spellEnd"/>
      <w:r w:rsidRPr="003C7D18">
        <w:rPr>
          <w:rStyle w:val="Enfasigrassetto"/>
          <w:rFonts w:asciiTheme="minorHAnsi" w:hAnsiTheme="minorHAnsi"/>
          <w:sz w:val="32"/>
          <w:szCs w:val="32"/>
        </w:rPr>
        <w:t xml:space="preserve"> Innovation </w:t>
      </w:r>
      <w:r w:rsidRPr="003C7D18">
        <w:rPr>
          <w:rFonts w:asciiTheme="minorHAnsi" w:hAnsiTheme="minorHAnsi"/>
          <w:sz w:val="32"/>
          <w:szCs w:val="32"/>
        </w:rPr>
        <w:t>che lo illustreranno</w:t>
      </w:r>
      <w:r w:rsidRPr="003C7D18">
        <w:rPr>
          <w:rStyle w:val="Enfasigrassetto"/>
          <w:rFonts w:asciiTheme="minorHAnsi" w:hAnsiTheme="minorHAnsi"/>
          <w:sz w:val="32"/>
          <w:szCs w:val="32"/>
        </w:rPr>
        <w:t xml:space="preserve"> </w:t>
      </w:r>
      <w:r w:rsidR="00B30875">
        <w:rPr>
          <w:rStyle w:val="Enfasigrassetto"/>
          <w:rFonts w:asciiTheme="minorHAnsi" w:hAnsiTheme="minorHAnsi"/>
          <w:b w:val="0"/>
          <w:bCs w:val="0"/>
          <w:sz w:val="32"/>
          <w:szCs w:val="32"/>
        </w:rPr>
        <w:t>martedì 13 alla</w:t>
      </w:r>
      <w:r w:rsidRPr="003C7D18">
        <w:rPr>
          <w:rStyle w:val="Enfasigrassetto"/>
          <w:rFonts w:asciiTheme="minorHAnsi" w:hAnsiTheme="minorHAnsi"/>
          <w:b w:val="0"/>
          <w:bCs w:val="0"/>
          <w:sz w:val="32"/>
          <w:szCs w:val="32"/>
        </w:rPr>
        <w:t xml:space="preserve"> presenza delle </w:t>
      </w:r>
      <w:r w:rsidR="00B30875">
        <w:rPr>
          <w:rStyle w:val="Enfasigrassetto"/>
          <w:rFonts w:asciiTheme="minorHAnsi" w:hAnsiTheme="minorHAnsi"/>
          <w:b w:val="0"/>
          <w:bCs w:val="0"/>
          <w:sz w:val="32"/>
          <w:szCs w:val="32"/>
        </w:rPr>
        <w:t>autorità</w:t>
      </w:r>
      <w:r w:rsidRPr="003C7D18">
        <w:rPr>
          <w:rStyle w:val="Enfasigrassetto"/>
          <w:rFonts w:asciiTheme="minorHAnsi" w:hAnsiTheme="minorHAnsi"/>
          <w:b w:val="0"/>
          <w:bCs w:val="0"/>
          <w:sz w:val="32"/>
          <w:szCs w:val="32"/>
        </w:rPr>
        <w:t>,</w:t>
      </w:r>
      <w:r w:rsidR="00792CFE" w:rsidRPr="003C7D18">
        <w:rPr>
          <w:rStyle w:val="Enfasigrassetto"/>
          <w:rFonts w:asciiTheme="minorHAnsi" w:hAnsiTheme="minorHAnsi"/>
          <w:b w:val="0"/>
          <w:bCs w:val="0"/>
          <w:sz w:val="32"/>
          <w:szCs w:val="32"/>
        </w:rPr>
        <w:t xml:space="preserve"> tra cui l’</w:t>
      </w:r>
      <w:r w:rsidR="00792CFE" w:rsidRPr="003C7D18">
        <w:rPr>
          <w:rStyle w:val="Enfasigrassetto"/>
          <w:rFonts w:asciiTheme="minorHAnsi" w:hAnsiTheme="minorHAnsi"/>
          <w:sz w:val="32"/>
          <w:szCs w:val="32"/>
        </w:rPr>
        <w:t>assessore alla sanità del Comune di Bologna Giuliano Barigazzi</w:t>
      </w:r>
      <w:r w:rsidRPr="003C7D18">
        <w:rPr>
          <w:rFonts w:asciiTheme="minorHAnsi" w:hAnsiTheme="minorHAnsi"/>
          <w:sz w:val="32"/>
          <w:szCs w:val="32"/>
        </w:rPr>
        <w:t>.</w:t>
      </w:r>
    </w:p>
    <w:p w14:paraId="1AE78F93" w14:textId="3A4561E6" w:rsidR="00522C87" w:rsidRPr="00B30875" w:rsidRDefault="00522C87" w:rsidP="00B30875">
      <w:pPr>
        <w:jc w:val="both"/>
        <w:rPr>
          <w:sz w:val="32"/>
          <w:szCs w:val="32"/>
        </w:rPr>
      </w:pPr>
      <w:r w:rsidRPr="00B30875">
        <w:rPr>
          <w:sz w:val="32"/>
          <w:szCs w:val="32"/>
        </w:rPr>
        <w:t xml:space="preserve">Questo il commento di </w:t>
      </w:r>
      <w:r w:rsidRPr="00B30875">
        <w:rPr>
          <w:b/>
          <w:bCs/>
          <w:sz w:val="32"/>
          <w:szCs w:val="32"/>
        </w:rPr>
        <w:t xml:space="preserve">Carlo Luison </w:t>
      </w:r>
      <w:proofErr w:type="spellStart"/>
      <w:r w:rsidRPr="00B30875">
        <w:rPr>
          <w:rFonts w:cs="Calibri"/>
          <w:b/>
          <w:bCs/>
          <w:sz w:val="32"/>
          <w:szCs w:val="32"/>
        </w:rPr>
        <w:t>Sustainable</w:t>
      </w:r>
      <w:proofErr w:type="spellEnd"/>
      <w:r w:rsidRPr="00B30875">
        <w:rPr>
          <w:rFonts w:cs="Calibri"/>
          <w:b/>
          <w:bCs/>
          <w:sz w:val="32"/>
          <w:szCs w:val="32"/>
        </w:rPr>
        <w:t xml:space="preserve"> Leader BDO Italia</w:t>
      </w:r>
    </w:p>
    <w:p w14:paraId="61D98692" w14:textId="12C98A33" w:rsidR="00522C87" w:rsidRPr="00B30875" w:rsidRDefault="00522C87" w:rsidP="00B30875">
      <w:pPr>
        <w:jc w:val="both"/>
        <w:rPr>
          <w:i/>
          <w:iCs/>
          <w:sz w:val="32"/>
          <w:szCs w:val="32"/>
        </w:rPr>
      </w:pPr>
      <w:r w:rsidRPr="00B30875">
        <w:rPr>
          <w:i/>
          <w:iCs/>
          <w:sz w:val="32"/>
          <w:szCs w:val="32"/>
        </w:rPr>
        <w:t xml:space="preserve">“La Pandemia ha segnato profondamente la vita di tutti e ha reso evidente la necessità di operare sempre di più nel massimo rispetto degli equilibri naturali e relazionali: </w:t>
      </w:r>
      <w:r w:rsidRPr="00B30875">
        <w:rPr>
          <w:b/>
          <w:bCs/>
          <w:i/>
          <w:iCs/>
          <w:sz w:val="32"/>
          <w:szCs w:val="32"/>
        </w:rPr>
        <w:t>il bilancio sociale 2020 serve a comprendere questi nuovi equilibri e cercare nuove risposte</w:t>
      </w:r>
      <w:r w:rsidRPr="00B30875">
        <w:rPr>
          <w:i/>
          <w:iCs/>
          <w:sz w:val="32"/>
          <w:szCs w:val="32"/>
        </w:rPr>
        <w:t>. Di fronte ad un mondo che cambia anche i bilanci non possono rimanere gli stessi”.</w:t>
      </w:r>
    </w:p>
    <w:p w14:paraId="10DCB6E8" w14:textId="40D2CB54" w:rsidR="00522C87" w:rsidRDefault="00522C87" w:rsidP="00B30875">
      <w:pPr>
        <w:pStyle w:val="NormaleWeb"/>
        <w:jc w:val="both"/>
        <w:rPr>
          <w:rFonts w:asciiTheme="minorHAnsi" w:hAnsiTheme="minorHAnsi"/>
          <w:sz w:val="32"/>
          <w:szCs w:val="32"/>
        </w:rPr>
      </w:pPr>
      <w:r w:rsidRPr="003C7D18">
        <w:rPr>
          <w:rFonts w:asciiTheme="minorHAnsi" w:hAnsiTheme="minorHAnsi"/>
          <w:sz w:val="32"/>
          <w:szCs w:val="32"/>
        </w:rPr>
        <w:t>Interverranno alla presentazione del</w:t>
      </w:r>
      <w:r w:rsidR="00B30875">
        <w:rPr>
          <w:rFonts w:asciiTheme="minorHAnsi" w:hAnsiTheme="minorHAnsi"/>
          <w:sz w:val="32"/>
          <w:szCs w:val="32"/>
        </w:rPr>
        <w:t xml:space="preserve">lo Strumento </w:t>
      </w:r>
      <w:r w:rsidRPr="003C7D18">
        <w:rPr>
          <w:rFonts w:asciiTheme="minorHAnsi" w:hAnsiTheme="minorHAnsi"/>
          <w:sz w:val="32"/>
          <w:szCs w:val="32"/>
        </w:rPr>
        <w:t>oltre al presidente regionale ANASTE </w:t>
      </w:r>
      <w:r w:rsidRPr="003C7D18">
        <w:rPr>
          <w:rStyle w:val="Enfasigrassetto"/>
          <w:rFonts w:asciiTheme="minorHAnsi" w:hAnsiTheme="minorHAnsi"/>
          <w:sz w:val="32"/>
          <w:szCs w:val="32"/>
        </w:rPr>
        <w:t>Pirazzoli</w:t>
      </w:r>
      <w:r w:rsidRPr="003C7D18">
        <w:rPr>
          <w:rFonts w:asciiTheme="minorHAnsi" w:hAnsiTheme="minorHAnsi"/>
          <w:sz w:val="32"/>
          <w:szCs w:val="32"/>
        </w:rPr>
        <w:t>, il presidente nazionale ANASTE </w:t>
      </w:r>
      <w:r w:rsidRPr="003C7D18">
        <w:rPr>
          <w:rStyle w:val="Enfasigrassetto"/>
          <w:rFonts w:asciiTheme="minorHAnsi" w:hAnsiTheme="minorHAnsi"/>
          <w:sz w:val="32"/>
          <w:szCs w:val="32"/>
        </w:rPr>
        <w:t>Sebastiano Capurso</w:t>
      </w:r>
      <w:r w:rsidRPr="003C7D18">
        <w:rPr>
          <w:rFonts w:asciiTheme="minorHAnsi" w:hAnsiTheme="minorHAnsi"/>
          <w:sz w:val="32"/>
          <w:szCs w:val="32"/>
        </w:rPr>
        <w:t>, l’ideatrice del SENTE-MENTE Modello, </w:t>
      </w:r>
      <w:r w:rsidRPr="003C7D18">
        <w:rPr>
          <w:rStyle w:val="Enfasigrassetto"/>
          <w:rFonts w:asciiTheme="minorHAnsi" w:hAnsiTheme="minorHAnsi"/>
          <w:sz w:val="32"/>
          <w:szCs w:val="32"/>
        </w:rPr>
        <w:t xml:space="preserve">Letizia </w:t>
      </w:r>
      <w:proofErr w:type="spellStart"/>
      <w:r w:rsidRPr="003C7D18">
        <w:rPr>
          <w:rStyle w:val="Enfasigrassetto"/>
          <w:rFonts w:asciiTheme="minorHAnsi" w:hAnsiTheme="minorHAnsi"/>
          <w:sz w:val="32"/>
          <w:szCs w:val="32"/>
        </w:rPr>
        <w:t>Espanoli</w:t>
      </w:r>
      <w:proofErr w:type="spellEnd"/>
      <w:r w:rsidRPr="003C7D18">
        <w:rPr>
          <w:rStyle w:val="Enfasigrassetto"/>
          <w:rFonts w:asciiTheme="minorHAnsi" w:hAnsiTheme="minorHAnsi"/>
          <w:sz w:val="32"/>
          <w:szCs w:val="32"/>
        </w:rPr>
        <w:t>.</w:t>
      </w:r>
      <w:r w:rsidRPr="003C7D18">
        <w:rPr>
          <w:rFonts w:asciiTheme="minorHAnsi" w:hAnsiTheme="minorHAnsi"/>
          <w:sz w:val="32"/>
          <w:szCs w:val="32"/>
        </w:rPr>
        <w:t> </w:t>
      </w:r>
      <w:r w:rsidR="00B30875">
        <w:rPr>
          <w:rFonts w:asciiTheme="minorHAnsi" w:hAnsiTheme="minorHAnsi"/>
          <w:sz w:val="32"/>
          <w:szCs w:val="32"/>
        </w:rPr>
        <w:t>Una novità di questa edizione</w:t>
      </w:r>
      <w:r w:rsidRPr="003C7D18">
        <w:rPr>
          <w:rFonts w:asciiTheme="minorHAnsi" w:hAnsiTheme="minorHAnsi"/>
          <w:sz w:val="32"/>
          <w:szCs w:val="32"/>
        </w:rPr>
        <w:t xml:space="preserve"> sarà il racconto dell’esperienza di adesione al Bilancio </w:t>
      </w:r>
      <w:r w:rsidR="003C7D18" w:rsidRPr="003C7D18">
        <w:rPr>
          <w:rFonts w:asciiTheme="minorHAnsi" w:hAnsiTheme="minorHAnsi"/>
          <w:sz w:val="32"/>
          <w:szCs w:val="32"/>
        </w:rPr>
        <w:t xml:space="preserve">di </w:t>
      </w:r>
      <w:r w:rsidR="003C7D18" w:rsidRPr="00B30875">
        <w:rPr>
          <w:rFonts w:asciiTheme="minorHAnsi" w:hAnsiTheme="minorHAnsi"/>
          <w:b/>
          <w:bCs/>
          <w:sz w:val="32"/>
          <w:szCs w:val="32"/>
        </w:rPr>
        <w:t>Ivonne Capelli</w:t>
      </w:r>
      <w:r w:rsidR="003C7D18" w:rsidRPr="003C7D18">
        <w:rPr>
          <w:rFonts w:asciiTheme="minorHAnsi" w:hAnsiTheme="minorHAnsi"/>
          <w:sz w:val="32"/>
          <w:szCs w:val="32"/>
        </w:rPr>
        <w:t xml:space="preserve"> Amministratrice di</w:t>
      </w:r>
      <w:r w:rsidRPr="003C7D18">
        <w:rPr>
          <w:rFonts w:asciiTheme="minorHAnsi" w:hAnsiTheme="minorHAnsi"/>
          <w:sz w:val="32"/>
          <w:szCs w:val="32"/>
        </w:rPr>
        <w:t xml:space="preserve"> CRA Villa Giulia di Pianoro (</w:t>
      </w:r>
      <w:r w:rsidR="00FF4C55">
        <w:rPr>
          <w:rFonts w:asciiTheme="minorHAnsi" w:hAnsiTheme="minorHAnsi"/>
          <w:sz w:val="32"/>
          <w:szCs w:val="32"/>
        </w:rPr>
        <w:t>BO</w:t>
      </w:r>
      <w:r w:rsidRPr="003C7D18">
        <w:rPr>
          <w:rFonts w:asciiTheme="minorHAnsi" w:hAnsiTheme="minorHAnsi"/>
          <w:sz w:val="32"/>
          <w:szCs w:val="32"/>
        </w:rPr>
        <w:t xml:space="preserve">) e </w:t>
      </w:r>
      <w:r w:rsidR="003C7D18" w:rsidRPr="00B30875">
        <w:rPr>
          <w:rFonts w:asciiTheme="minorHAnsi" w:hAnsiTheme="minorHAnsi"/>
          <w:b/>
          <w:bCs/>
          <w:sz w:val="32"/>
          <w:szCs w:val="32"/>
        </w:rPr>
        <w:t>Andrea Po</w:t>
      </w:r>
      <w:r w:rsidR="003C7D18" w:rsidRPr="003C7D18">
        <w:rPr>
          <w:rFonts w:asciiTheme="minorHAnsi" w:hAnsiTheme="minorHAnsi"/>
          <w:sz w:val="32"/>
          <w:szCs w:val="32"/>
        </w:rPr>
        <w:t xml:space="preserve"> direttore di </w:t>
      </w:r>
      <w:r w:rsidRPr="003C7D18">
        <w:rPr>
          <w:rFonts w:asciiTheme="minorHAnsi" w:hAnsiTheme="minorHAnsi"/>
          <w:sz w:val="32"/>
          <w:szCs w:val="32"/>
        </w:rPr>
        <w:t>Casa Speranza (</w:t>
      </w:r>
      <w:r w:rsidR="00FF4C55">
        <w:rPr>
          <w:rFonts w:asciiTheme="minorHAnsi" w:hAnsiTheme="minorHAnsi"/>
          <w:sz w:val="32"/>
          <w:szCs w:val="32"/>
        </w:rPr>
        <w:t>MO</w:t>
      </w:r>
      <w:r w:rsidRPr="003C7D18">
        <w:rPr>
          <w:rFonts w:asciiTheme="minorHAnsi" w:hAnsiTheme="minorHAnsi"/>
          <w:sz w:val="32"/>
          <w:szCs w:val="32"/>
        </w:rPr>
        <w:t>).</w:t>
      </w:r>
    </w:p>
    <w:p w14:paraId="66BA4A89" w14:textId="13CA5D16" w:rsidR="00B30875" w:rsidRDefault="00B30875" w:rsidP="00522C87">
      <w:pPr>
        <w:pStyle w:val="NormaleWeb"/>
        <w:rPr>
          <w:rFonts w:asciiTheme="minorHAnsi" w:hAnsiTheme="minorHAnsi"/>
          <w:sz w:val="32"/>
          <w:szCs w:val="32"/>
        </w:rPr>
      </w:pPr>
    </w:p>
    <w:p w14:paraId="5561DD5F" w14:textId="77777777" w:rsidR="00B30875" w:rsidRDefault="00B30875" w:rsidP="00522C87">
      <w:pPr>
        <w:pStyle w:val="NormaleWeb"/>
        <w:rPr>
          <w:rFonts w:asciiTheme="minorHAnsi" w:hAnsiTheme="minorHAnsi"/>
          <w:sz w:val="32"/>
          <w:szCs w:val="32"/>
        </w:rPr>
      </w:pPr>
    </w:p>
    <w:p w14:paraId="01AAA9AD" w14:textId="474470A0" w:rsidR="00E21BFB" w:rsidRPr="00B30875" w:rsidRDefault="00E21BFB" w:rsidP="00522C87">
      <w:pPr>
        <w:pStyle w:val="NormaleWeb"/>
        <w:rPr>
          <w:rFonts w:asciiTheme="minorHAnsi" w:hAnsiTheme="minorHAnsi"/>
        </w:rPr>
      </w:pPr>
      <w:r w:rsidRPr="00B30875">
        <w:rPr>
          <w:rFonts w:asciiTheme="minorHAnsi" w:hAnsiTheme="minorHAnsi"/>
        </w:rPr>
        <w:t>Quest</w:t>
      </w:r>
      <w:r w:rsidR="00B30875" w:rsidRPr="00B30875">
        <w:rPr>
          <w:rFonts w:asciiTheme="minorHAnsi" w:hAnsiTheme="minorHAnsi"/>
        </w:rPr>
        <w:t>o l’elenco completo dell</w:t>
      </w:r>
      <w:r w:rsidRPr="00B30875">
        <w:rPr>
          <w:rFonts w:asciiTheme="minorHAnsi" w:hAnsiTheme="minorHAnsi"/>
        </w:rPr>
        <w:t xml:space="preserve">e strutture </w:t>
      </w:r>
      <w:r w:rsidR="00A47A05" w:rsidRPr="00B30875">
        <w:rPr>
          <w:rFonts w:asciiTheme="minorHAnsi" w:hAnsiTheme="minorHAnsi"/>
        </w:rPr>
        <w:t>che hanno aderito al Bilancio Sociale</w:t>
      </w:r>
      <w:r w:rsidRPr="00B30875">
        <w:rPr>
          <w:rFonts w:asciiTheme="minorHAnsi" w:hAnsiTheme="minorHAnsi"/>
        </w:rPr>
        <w:t xml:space="preserve"> ANASTE</w:t>
      </w:r>
      <w:r w:rsidR="00A47A05" w:rsidRPr="00B30875">
        <w:rPr>
          <w:rFonts w:asciiTheme="minorHAnsi" w:hAnsiTheme="minorHAnsi"/>
        </w:rPr>
        <w:t xml:space="preserve"> 2020:</w:t>
      </w:r>
    </w:p>
    <w:p w14:paraId="1C49EDF1" w14:textId="768895B6" w:rsidR="00F576E8" w:rsidRPr="00B30875" w:rsidRDefault="00F576E8" w:rsidP="00522C87">
      <w:pPr>
        <w:pStyle w:val="NormaleWeb"/>
        <w:rPr>
          <w:rFonts w:asciiTheme="minorHAnsi" w:hAnsiTheme="minorHAnsi"/>
        </w:rPr>
      </w:pPr>
      <w:r w:rsidRPr="00B30875">
        <w:rPr>
          <w:rFonts w:asciiTheme="minorHAnsi" w:hAnsiTheme="minorHAnsi"/>
          <w:b/>
          <w:bCs/>
        </w:rPr>
        <w:t xml:space="preserve">Villa Armonia </w:t>
      </w:r>
      <w:r w:rsidRPr="00B30875">
        <w:rPr>
          <w:rFonts w:asciiTheme="minorHAnsi" w:hAnsiTheme="minorHAnsi"/>
        </w:rPr>
        <w:t xml:space="preserve">di Imola (BO), </w:t>
      </w:r>
      <w:r w:rsidRPr="00B30875">
        <w:rPr>
          <w:rFonts w:asciiTheme="minorHAnsi" w:hAnsiTheme="minorHAnsi"/>
          <w:b/>
          <w:bCs/>
        </w:rPr>
        <w:t xml:space="preserve">Villa Giulia </w:t>
      </w:r>
      <w:r w:rsidRPr="00B30875">
        <w:rPr>
          <w:rFonts w:asciiTheme="minorHAnsi" w:hAnsiTheme="minorHAnsi"/>
        </w:rPr>
        <w:t xml:space="preserve">di Pianoro (BO), </w:t>
      </w:r>
      <w:r w:rsidRPr="00B30875">
        <w:rPr>
          <w:rFonts w:asciiTheme="minorHAnsi" w:hAnsiTheme="minorHAnsi"/>
          <w:b/>
          <w:bCs/>
        </w:rPr>
        <w:t xml:space="preserve">Villa Salus </w:t>
      </w:r>
      <w:r w:rsidRPr="00B30875">
        <w:rPr>
          <w:rFonts w:asciiTheme="minorHAnsi" w:hAnsiTheme="minorHAnsi"/>
        </w:rPr>
        <w:t xml:space="preserve">(RN), </w:t>
      </w:r>
      <w:r w:rsidRPr="00B30875">
        <w:rPr>
          <w:rFonts w:asciiTheme="minorHAnsi" w:hAnsiTheme="minorHAnsi"/>
          <w:b/>
          <w:bCs/>
        </w:rPr>
        <w:t xml:space="preserve">Il Pellicano </w:t>
      </w:r>
      <w:r w:rsidRPr="00B30875">
        <w:rPr>
          <w:rFonts w:asciiTheme="minorHAnsi" w:hAnsiTheme="minorHAnsi"/>
        </w:rPr>
        <w:t xml:space="preserve">di Bazzano (BO), </w:t>
      </w:r>
      <w:r w:rsidRPr="00B30875">
        <w:rPr>
          <w:rFonts w:asciiTheme="minorHAnsi" w:hAnsiTheme="minorHAnsi"/>
          <w:b/>
          <w:bCs/>
        </w:rPr>
        <w:t xml:space="preserve">Villa Adriana </w:t>
      </w:r>
      <w:r w:rsidRPr="00B30875">
        <w:rPr>
          <w:rFonts w:asciiTheme="minorHAnsi" w:hAnsiTheme="minorHAnsi"/>
        </w:rPr>
        <w:t xml:space="preserve">(BO), </w:t>
      </w:r>
      <w:r w:rsidRPr="00B30875">
        <w:rPr>
          <w:rFonts w:asciiTheme="minorHAnsi" w:hAnsiTheme="minorHAnsi"/>
          <w:b/>
          <w:bCs/>
        </w:rPr>
        <w:t xml:space="preserve">Villa Anna Maria </w:t>
      </w:r>
      <w:r w:rsidRPr="00B30875">
        <w:rPr>
          <w:rFonts w:asciiTheme="minorHAnsi" w:hAnsiTheme="minorHAnsi"/>
        </w:rPr>
        <w:t xml:space="preserve">Casalecchio di reno (BO), </w:t>
      </w:r>
      <w:r w:rsidRPr="00B30875">
        <w:rPr>
          <w:rFonts w:asciiTheme="minorHAnsi" w:hAnsiTheme="minorHAnsi"/>
          <w:b/>
          <w:bCs/>
        </w:rPr>
        <w:t xml:space="preserve">Villa Francia </w:t>
      </w:r>
      <w:r w:rsidRPr="00B30875">
        <w:rPr>
          <w:rFonts w:asciiTheme="minorHAnsi" w:hAnsiTheme="minorHAnsi"/>
        </w:rPr>
        <w:t xml:space="preserve">di Calderino di Monte San Pietro (BO), </w:t>
      </w:r>
      <w:r w:rsidRPr="00B30875">
        <w:rPr>
          <w:rFonts w:asciiTheme="minorHAnsi" w:hAnsiTheme="minorHAnsi"/>
          <w:b/>
          <w:bCs/>
        </w:rPr>
        <w:t xml:space="preserve">Villa Ilenia </w:t>
      </w:r>
      <w:r w:rsidRPr="00B30875">
        <w:rPr>
          <w:rFonts w:asciiTheme="minorHAnsi" w:hAnsiTheme="minorHAnsi"/>
        </w:rPr>
        <w:t xml:space="preserve">di Monterenzio (BO), </w:t>
      </w:r>
      <w:r w:rsidRPr="00B30875">
        <w:rPr>
          <w:rFonts w:asciiTheme="minorHAnsi" w:hAnsiTheme="minorHAnsi"/>
          <w:b/>
          <w:bCs/>
        </w:rPr>
        <w:t xml:space="preserve">Villa Ranuzzi </w:t>
      </w:r>
      <w:r w:rsidRPr="00B30875">
        <w:rPr>
          <w:rFonts w:asciiTheme="minorHAnsi" w:hAnsiTheme="minorHAnsi"/>
        </w:rPr>
        <w:t xml:space="preserve">(BO), </w:t>
      </w:r>
      <w:r w:rsidRPr="00B30875">
        <w:rPr>
          <w:rFonts w:asciiTheme="minorHAnsi" w:hAnsiTheme="minorHAnsi"/>
          <w:b/>
          <w:bCs/>
        </w:rPr>
        <w:t xml:space="preserve">Villa Serena </w:t>
      </w:r>
      <w:r w:rsidRPr="00B30875">
        <w:rPr>
          <w:rFonts w:asciiTheme="minorHAnsi" w:hAnsiTheme="minorHAnsi"/>
        </w:rPr>
        <w:t xml:space="preserve">(BO), </w:t>
      </w:r>
      <w:r w:rsidRPr="00B30875">
        <w:rPr>
          <w:rFonts w:asciiTheme="minorHAnsi" w:hAnsiTheme="minorHAnsi"/>
          <w:b/>
          <w:bCs/>
        </w:rPr>
        <w:t xml:space="preserve">Villa Silvia </w:t>
      </w:r>
      <w:r w:rsidRPr="00B30875">
        <w:rPr>
          <w:rFonts w:asciiTheme="minorHAnsi" w:hAnsiTheme="minorHAnsi"/>
        </w:rPr>
        <w:t xml:space="preserve">di san Lazzaro Savena (BO), </w:t>
      </w:r>
      <w:r w:rsidRPr="00B30875">
        <w:rPr>
          <w:rFonts w:asciiTheme="minorHAnsi" w:hAnsiTheme="minorHAnsi"/>
          <w:b/>
          <w:bCs/>
        </w:rPr>
        <w:t xml:space="preserve">Villa del Sole </w:t>
      </w:r>
      <w:r w:rsidRPr="00B30875">
        <w:rPr>
          <w:rFonts w:asciiTheme="minorHAnsi" w:hAnsiTheme="minorHAnsi"/>
        </w:rPr>
        <w:t xml:space="preserve">di Castiglione dei Pepoli (BO), </w:t>
      </w:r>
      <w:r w:rsidRPr="00B30875">
        <w:rPr>
          <w:rFonts w:asciiTheme="minorHAnsi" w:hAnsiTheme="minorHAnsi"/>
          <w:b/>
          <w:bCs/>
        </w:rPr>
        <w:t xml:space="preserve">Casa Lyda Borelli </w:t>
      </w:r>
      <w:r w:rsidRPr="00B30875">
        <w:rPr>
          <w:rFonts w:asciiTheme="minorHAnsi" w:hAnsiTheme="minorHAnsi"/>
        </w:rPr>
        <w:t xml:space="preserve">(BO), </w:t>
      </w:r>
      <w:r w:rsidRPr="00B30875">
        <w:rPr>
          <w:rFonts w:asciiTheme="minorHAnsi" w:hAnsiTheme="minorHAnsi"/>
          <w:b/>
          <w:bCs/>
        </w:rPr>
        <w:t xml:space="preserve">Villa Sorriso </w:t>
      </w:r>
      <w:r w:rsidRPr="00B30875">
        <w:rPr>
          <w:rFonts w:asciiTheme="minorHAnsi" w:hAnsiTheme="minorHAnsi"/>
        </w:rPr>
        <w:t>di Marano sul Panaro (MO),</w:t>
      </w:r>
      <w:r w:rsidR="002F2647" w:rsidRPr="00B30875">
        <w:rPr>
          <w:rFonts w:asciiTheme="minorHAnsi" w:hAnsiTheme="minorHAnsi"/>
        </w:rPr>
        <w:t xml:space="preserve"> </w:t>
      </w:r>
      <w:r w:rsidR="002F2647" w:rsidRPr="00B30875">
        <w:rPr>
          <w:rFonts w:asciiTheme="minorHAnsi" w:hAnsiTheme="minorHAnsi"/>
          <w:b/>
          <w:bCs/>
        </w:rPr>
        <w:t xml:space="preserve">Villa Marina </w:t>
      </w:r>
      <w:r w:rsidR="002F2647" w:rsidRPr="00B30875">
        <w:rPr>
          <w:rFonts w:asciiTheme="minorHAnsi" w:hAnsiTheme="minorHAnsi"/>
        </w:rPr>
        <w:t xml:space="preserve">di Castenaso (BO), </w:t>
      </w:r>
      <w:r w:rsidR="002F2647" w:rsidRPr="00B30875">
        <w:rPr>
          <w:rFonts w:asciiTheme="minorHAnsi" w:hAnsiTheme="minorHAnsi"/>
          <w:b/>
          <w:bCs/>
        </w:rPr>
        <w:t xml:space="preserve">Residence Sagittario </w:t>
      </w:r>
      <w:r w:rsidR="002F2647" w:rsidRPr="00B30875">
        <w:rPr>
          <w:rFonts w:asciiTheme="minorHAnsi" w:hAnsiTheme="minorHAnsi"/>
        </w:rPr>
        <w:t xml:space="preserve">di Vignola (MO), </w:t>
      </w:r>
      <w:r w:rsidR="002F2647" w:rsidRPr="00B30875">
        <w:rPr>
          <w:rFonts w:asciiTheme="minorHAnsi" w:hAnsiTheme="minorHAnsi"/>
          <w:b/>
          <w:bCs/>
        </w:rPr>
        <w:t xml:space="preserve">Pensionato Luana </w:t>
      </w:r>
      <w:r w:rsidR="002F2647" w:rsidRPr="00B30875">
        <w:rPr>
          <w:rFonts w:asciiTheme="minorHAnsi" w:hAnsiTheme="minorHAnsi"/>
        </w:rPr>
        <w:t xml:space="preserve">di Monterenzio (BO), </w:t>
      </w:r>
      <w:r w:rsidR="002F2647" w:rsidRPr="00B30875">
        <w:rPr>
          <w:rFonts w:asciiTheme="minorHAnsi" w:hAnsiTheme="minorHAnsi"/>
          <w:b/>
          <w:bCs/>
        </w:rPr>
        <w:t xml:space="preserve">Villa Torre </w:t>
      </w:r>
      <w:r w:rsidR="002F2647" w:rsidRPr="00B30875">
        <w:rPr>
          <w:rFonts w:asciiTheme="minorHAnsi" w:hAnsiTheme="minorHAnsi"/>
        </w:rPr>
        <w:t xml:space="preserve">di Liano Castel di Casio (BO), </w:t>
      </w:r>
      <w:r w:rsidR="002F2647" w:rsidRPr="00B30875">
        <w:rPr>
          <w:rFonts w:asciiTheme="minorHAnsi" w:hAnsiTheme="minorHAnsi"/>
          <w:b/>
          <w:bCs/>
        </w:rPr>
        <w:t xml:space="preserve">Villa Estense </w:t>
      </w:r>
      <w:r w:rsidR="002F2647" w:rsidRPr="00B30875">
        <w:rPr>
          <w:rFonts w:asciiTheme="minorHAnsi" w:hAnsiTheme="minorHAnsi"/>
        </w:rPr>
        <w:t xml:space="preserve">di Torre Maina di Maranello (MO), </w:t>
      </w:r>
      <w:r w:rsidR="002F2647" w:rsidRPr="00B30875">
        <w:rPr>
          <w:rFonts w:asciiTheme="minorHAnsi" w:hAnsiTheme="minorHAnsi"/>
          <w:b/>
          <w:bCs/>
        </w:rPr>
        <w:t xml:space="preserve">Casa Speranza </w:t>
      </w:r>
      <w:r w:rsidR="002F2647" w:rsidRPr="00B30875">
        <w:rPr>
          <w:rFonts w:asciiTheme="minorHAnsi" w:hAnsiTheme="minorHAnsi"/>
        </w:rPr>
        <w:t xml:space="preserve">di Montefiorino (MO), </w:t>
      </w:r>
      <w:r w:rsidR="00A47A05" w:rsidRPr="00B30875">
        <w:rPr>
          <w:rFonts w:asciiTheme="minorHAnsi" w:hAnsiTheme="minorHAnsi"/>
          <w:b/>
          <w:bCs/>
        </w:rPr>
        <w:t>I</w:t>
      </w:r>
      <w:r w:rsidR="002F2647" w:rsidRPr="00B30875">
        <w:rPr>
          <w:rFonts w:asciiTheme="minorHAnsi" w:hAnsiTheme="minorHAnsi"/>
          <w:b/>
          <w:bCs/>
        </w:rPr>
        <w:t xml:space="preserve">stituto Sant’Anna e Santa Caterina </w:t>
      </w:r>
      <w:r w:rsidR="002F2647" w:rsidRPr="00B30875">
        <w:rPr>
          <w:rFonts w:asciiTheme="minorHAnsi" w:hAnsiTheme="minorHAnsi"/>
        </w:rPr>
        <w:t xml:space="preserve">(BO), </w:t>
      </w:r>
      <w:r w:rsidR="002F2647" w:rsidRPr="00B30875">
        <w:rPr>
          <w:rFonts w:asciiTheme="minorHAnsi" w:hAnsiTheme="minorHAnsi"/>
          <w:b/>
          <w:bCs/>
        </w:rPr>
        <w:t>Oasi Serena</w:t>
      </w:r>
      <w:r w:rsidR="002F2647" w:rsidRPr="00B30875">
        <w:rPr>
          <w:rFonts w:asciiTheme="minorHAnsi" w:hAnsiTheme="minorHAnsi"/>
        </w:rPr>
        <w:t xml:space="preserve"> di Viserbella di Rimini (RN)</w:t>
      </w:r>
    </w:p>
    <w:p w14:paraId="5FCAE160" w14:textId="77777777" w:rsidR="001C04B3" w:rsidRPr="00522C87" w:rsidRDefault="001C04B3">
      <w:pPr>
        <w:rPr>
          <w:sz w:val="32"/>
          <w:szCs w:val="32"/>
        </w:rPr>
      </w:pPr>
    </w:p>
    <w:sectPr w:rsidR="001C04B3" w:rsidRPr="00522C8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2E33" w14:textId="77777777" w:rsidR="002C5E30" w:rsidRDefault="002C5E30" w:rsidP="00B30875">
      <w:pPr>
        <w:spacing w:after="0" w:line="240" w:lineRule="auto"/>
      </w:pPr>
      <w:r>
        <w:separator/>
      </w:r>
    </w:p>
  </w:endnote>
  <w:endnote w:type="continuationSeparator" w:id="0">
    <w:p w14:paraId="01EE673E" w14:textId="77777777" w:rsidR="002C5E30" w:rsidRDefault="002C5E30" w:rsidP="00B3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155F" w14:textId="0A2ECA43" w:rsidR="00FF4C55" w:rsidRPr="00FF4C55" w:rsidRDefault="00FF4C55" w:rsidP="00FF4C55">
    <w:pPr>
      <w:pStyle w:val="Pidipagina"/>
      <w:jc w:val="center"/>
      <w:rPr>
        <w:sz w:val="20"/>
        <w:szCs w:val="20"/>
      </w:rPr>
    </w:pPr>
    <w:r w:rsidRPr="00FF4C55">
      <w:rPr>
        <w:sz w:val="20"/>
        <w:szCs w:val="20"/>
      </w:rPr>
      <w:t xml:space="preserve">Ufficio Stampa ANASTE Emilia- Romagna - Deborah Annolino mob. 3474072574 - mail.  </w:t>
    </w:r>
    <w:hyperlink r:id="rId1" w:history="1">
      <w:r w:rsidRPr="00FF4C55">
        <w:rPr>
          <w:rStyle w:val="Collegamentoipertestuale"/>
          <w:sz w:val="20"/>
          <w:szCs w:val="20"/>
        </w:rPr>
        <w:t>press@consorziocolibri.com</w:t>
      </w:r>
    </w:hyperlink>
  </w:p>
  <w:p w14:paraId="47FD36F7" w14:textId="7F4B6356" w:rsidR="00FF4C55" w:rsidRPr="00FF4C55" w:rsidRDefault="00FF4C55" w:rsidP="00FF4C55">
    <w:pPr>
      <w:pStyle w:val="Pidipagina"/>
      <w:jc w:val="center"/>
      <w:rPr>
        <w:sz w:val="20"/>
        <w:szCs w:val="20"/>
      </w:rPr>
    </w:pPr>
    <w:r w:rsidRPr="00FF4C55">
      <w:rPr>
        <w:rStyle w:val="Enfasigrassetto"/>
        <w:b w:val="0"/>
        <w:bCs w:val="0"/>
        <w:sz w:val="20"/>
        <w:szCs w:val="20"/>
      </w:rPr>
      <w:t>SEDE:</w:t>
    </w:r>
    <w:r w:rsidRPr="00FF4C55">
      <w:rPr>
        <w:rStyle w:val="Enfasigrassetto"/>
        <w:sz w:val="20"/>
        <w:szCs w:val="20"/>
      </w:rPr>
      <w:t xml:space="preserve"> </w:t>
    </w:r>
    <w:r w:rsidRPr="00FF4C55">
      <w:rPr>
        <w:rStyle w:val="Enfasigrassetto"/>
        <w:sz w:val="20"/>
        <w:szCs w:val="20"/>
      </w:rPr>
      <w:t>Confcommercio Ascom Bologna</w:t>
    </w:r>
    <w:r w:rsidRPr="00FF4C55">
      <w:rPr>
        <w:sz w:val="20"/>
        <w:szCs w:val="20"/>
      </w:rPr>
      <w:t xml:space="preserve"> </w:t>
    </w:r>
    <w:r w:rsidRPr="00FF4C55">
      <w:rPr>
        <w:sz w:val="20"/>
        <w:szCs w:val="20"/>
      </w:rPr>
      <w:t xml:space="preserve">Strada Maggiore 23 </w:t>
    </w:r>
    <w:r w:rsidRPr="00FF4C55">
      <w:rPr>
        <w:sz w:val="20"/>
        <w:szCs w:val="20"/>
      </w:rPr>
      <w:t xml:space="preserve">- </w:t>
    </w:r>
    <w:r w:rsidRPr="00FF4C55">
      <w:rPr>
        <w:sz w:val="20"/>
        <w:szCs w:val="20"/>
      </w:rPr>
      <w:t>40125 Bologna</w:t>
    </w:r>
    <w:r w:rsidRPr="00FF4C55">
      <w:rPr>
        <w:sz w:val="20"/>
        <w:szCs w:val="20"/>
      </w:rPr>
      <w:t xml:space="preserve"> </w:t>
    </w:r>
    <w:hyperlink r:id="rId2" w:history="1">
      <w:r w:rsidRPr="00FF4C55">
        <w:rPr>
          <w:rStyle w:val="Collegamentoipertestuale"/>
          <w:sz w:val="20"/>
          <w:szCs w:val="20"/>
        </w:rPr>
        <w:t>www.anaste-er.com</w:t>
      </w:r>
    </w:hyperlink>
    <w:r w:rsidRPr="00FF4C5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910" w14:textId="77777777" w:rsidR="002C5E30" w:rsidRDefault="002C5E30" w:rsidP="00B30875">
      <w:pPr>
        <w:spacing w:after="0" w:line="240" w:lineRule="auto"/>
      </w:pPr>
      <w:r>
        <w:separator/>
      </w:r>
    </w:p>
  </w:footnote>
  <w:footnote w:type="continuationSeparator" w:id="0">
    <w:p w14:paraId="5F1CB771" w14:textId="77777777" w:rsidR="002C5E30" w:rsidRDefault="002C5E30" w:rsidP="00B30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87"/>
    <w:rsid w:val="001C04B3"/>
    <w:rsid w:val="0028736E"/>
    <w:rsid w:val="002C5E30"/>
    <w:rsid w:val="002F2647"/>
    <w:rsid w:val="00366A30"/>
    <w:rsid w:val="003C7D18"/>
    <w:rsid w:val="004A40DE"/>
    <w:rsid w:val="00522C87"/>
    <w:rsid w:val="00565E28"/>
    <w:rsid w:val="00596FD1"/>
    <w:rsid w:val="00792CFE"/>
    <w:rsid w:val="00854393"/>
    <w:rsid w:val="0096594C"/>
    <w:rsid w:val="00A47A05"/>
    <w:rsid w:val="00AB4289"/>
    <w:rsid w:val="00B30875"/>
    <w:rsid w:val="00CB4C67"/>
    <w:rsid w:val="00DD0948"/>
    <w:rsid w:val="00DF5048"/>
    <w:rsid w:val="00E21BFB"/>
    <w:rsid w:val="00E86644"/>
    <w:rsid w:val="00E9131C"/>
    <w:rsid w:val="00F34689"/>
    <w:rsid w:val="00F576E8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869B"/>
  <w15:chartTrackingRefBased/>
  <w15:docId w15:val="{74CB36ED-43FC-42AA-AE7F-25AD756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22C8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30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875"/>
  </w:style>
  <w:style w:type="paragraph" w:styleId="Pidipagina">
    <w:name w:val="footer"/>
    <w:basedOn w:val="Normale"/>
    <w:link w:val="PidipaginaCarattere"/>
    <w:uiPriority w:val="99"/>
    <w:unhideWhenUsed/>
    <w:rsid w:val="00B30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875"/>
  </w:style>
  <w:style w:type="character" w:styleId="Collegamentoipertestuale">
    <w:name w:val="Hyperlink"/>
    <w:basedOn w:val="Carpredefinitoparagrafo"/>
    <w:uiPriority w:val="99"/>
    <w:unhideWhenUsed/>
    <w:rsid w:val="00FF4C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4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aste-er.com" TargetMode="External"/><Relationship Id="rId1" Type="http://schemas.openxmlformats.org/officeDocument/2006/relationships/hyperlink" Target="mailto:press@consorziocolib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Annolino</dc:creator>
  <cp:keywords/>
  <dc:description/>
  <cp:lastModifiedBy>Deborah Annolino</cp:lastModifiedBy>
  <cp:revision>2</cp:revision>
  <dcterms:created xsi:type="dcterms:W3CDTF">2021-07-08T14:38:00Z</dcterms:created>
  <dcterms:modified xsi:type="dcterms:W3CDTF">2021-07-08T14:38:00Z</dcterms:modified>
</cp:coreProperties>
</file>