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26" w:rsidRDefault="00685F26" w:rsidP="00287F91">
      <w:bookmarkStart w:id="0" w:name="_GoBack"/>
      <w:bookmarkEnd w:id="0"/>
    </w:p>
    <w:p w:rsidR="00370A7A" w:rsidRDefault="00370A7A" w:rsidP="00370A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Helvetica" w:eastAsia="Arial Unicode MS" w:hAnsi="Helvetica" w:cs="Arial Unicode MS"/>
          <w:b/>
          <w:color w:val="000000"/>
          <w:sz w:val="24"/>
          <w:szCs w:val="24"/>
          <w:u w:val="single"/>
          <w:bdr w:val="nil"/>
        </w:rPr>
      </w:pPr>
      <w:r w:rsidRPr="00A72717">
        <w:rPr>
          <w:rFonts w:ascii="Helvetica" w:eastAsia="Arial Unicode MS" w:hAnsi="Helvetica" w:cs="Arial Unicode MS"/>
          <w:b/>
          <w:color w:val="000000"/>
          <w:sz w:val="24"/>
          <w:szCs w:val="24"/>
          <w:u w:val="single"/>
          <w:bdr w:val="nil"/>
        </w:rPr>
        <w:t>COMUNICATO STAMPA</w:t>
      </w:r>
    </w:p>
    <w:p w:rsidR="002620EB" w:rsidRDefault="002620EB" w:rsidP="00370A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Helvetica" w:eastAsia="Arial Unicode MS" w:hAnsi="Helvetica" w:cs="Arial Unicode MS"/>
          <w:b/>
          <w:color w:val="000000"/>
          <w:sz w:val="24"/>
          <w:szCs w:val="24"/>
          <w:u w:val="single"/>
          <w:bdr w:val="nil"/>
        </w:rPr>
      </w:pPr>
    </w:p>
    <w:p w:rsidR="002620EB" w:rsidRDefault="002620EB" w:rsidP="002620EB">
      <w:pPr>
        <w:spacing w:line="252" w:lineRule="auto"/>
        <w:jc w:val="center"/>
        <w:rPr>
          <w:rFonts w:ascii="Calibri" w:hAnsi="Calibri" w:cs="Times New Roman"/>
        </w:rPr>
      </w:pPr>
      <w:r>
        <w:rPr>
          <w:b/>
          <w:bCs/>
          <w:sz w:val="32"/>
          <w:szCs w:val="32"/>
        </w:rPr>
        <w:t>Perché rischiamo di andare in zona arancione?</w:t>
      </w:r>
    </w:p>
    <w:p w:rsidR="002620EB" w:rsidRDefault="002620EB" w:rsidP="002620EB">
      <w:pPr>
        <w:spacing w:line="252" w:lineRule="auto"/>
      </w:pPr>
      <w:r>
        <w:t> </w:t>
      </w:r>
    </w:p>
    <w:p w:rsidR="002620EB" w:rsidRDefault="002620EB" w:rsidP="002620EB">
      <w:pPr>
        <w:spacing w:line="252" w:lineRule="auto"/>
        <w:jc w:val="both"/>
      </w:pPr>
      <w:r>
        <w:t xml:space="preserve">Sin dall’inizio della pandemia, il criterio legato alla definizione di restrizioni, sia di spostamenti che per le attività economiche, è stato sempre ancorato principalmente alla pressione ospedaliera legata ai reparti </w:t>
      </w:r>
      <w:proofErr w:type="spellStart"/>
      <w:r>
        <w:t>covid</w:t>
      </w:r>
      <w:proofErr w:type="spellEnd"/>
      <w:r>
        <w:t xml:space="preserve"> e di terapia intensiva. Per questa motivazione, fra la prima e la seconda ondata, si sono fatti investimenti importanti, e in particolare nella Regione Emilia-Romagna, per aumentare la capacità ricettiva e di servizio per i malati di </w:t>
      </w:r>
      <w:proofErr w:type="spellStart"/>
      <w:r>
        <w:t>covid</w:t>
      </w:r>
      <w:proofErr w:type="spellEnd"/>
      <w:r>
        <w:t xml:space="preserve">. </w:t>
      </w:r>
    </w:p>
    <w:p w:rsidR="002620EB" w:rsidRDefault="002620EB" w:rsidP="002620EB">
      <w:pPr>
        <w:spacing w:line="252" w:lineRule="auto"/>
        <w:jc w:val="both"/>
      </w:pPr>
      <w:r>
        <w:t xml:space="preserve">Nei successivi DPCM sono stati individuati come parametri fondamentali di soglia d’allarme: il 30% di occupazione per le terapie intensive e il 40% di occupazione per i posti </w:t>
      </w:r>
      <w:proofErr w:type="spellStart"/>
      <w:r>
        <w:t>covid</w:t>
      </w:r>
      <w:proofErr w:type="spellEnd"/>
      <w:r>
        <w:t xml:space="preserve"> ospedalieri. </w:t>
      </w:r>
    </w:p>
    <w:p w:rsidR="002620EB" w:rsidRDefault="002620EB" w:rsidP="002620EB">
      <w:pPr>
        <w:spacing w:line="252" w:lineRule="auto"/>
        <w:jc w:val="both"/>
      </w:pPr>
      <w:r>
        <w:t>Partendo da questi presupposti, si è anche definito che le scelte legate alle restrizioni tra i diversi livelli di colore dipendevano dall’impatto che l’apertura o la chiusura di certe attività economiche avevano sugli andamenti epidemiologici e dei ricoveri.</w:t>
      </w:r>
    </w:p>
    <w:p w:rsidR="002620EB" w:rsidRDefault="002620EB" w:rsidP="002620EB">
      <w:pPr>
        <w:spacing w:line="252" w:lineRule="auto"/>
        <w:jc w:val="both"/>
      </w:pPr>
      <w:r>
        <w:t>E’ cosa risaputa l’estrema complessità di analisi dei 21 parametri che vanno a determinare le scelte di inserire le varie Regioni in una zona di un colore piuttosto che di un altro.</w:t>
      </w:r>
    </w:p>
    <w:p w:rsidR="002620EB" w:rsidRDefault="002620EB" w:rsidP="002620EB">
      <w:pPr>
        <w:spacing w:line="252" w:lineRule="auto"/>
        <w:jc w:val="both"/>
      </w:pPr>
      <w:r>
        <w:t>E’ anche noto che la sostanziale differenza fra la zona gialla e la zona arancione è data dall’impossibilità di muoversi fra Comuni e dalla chiusura imposta ai pubblici esercizi.</w:t>
      </w:r>
    </w:p>
    <w:p w:rsidR="002620EB" w:rsidRDefault="002620EB" w:rsidP="002620EB">
      <w:pPr>
        <w:spacing w:line="252" w:lineRule="auto"/>
        <w:jc w:val="both"/>
      </w:pPr>
      <w:r>
        <w:t xml:space="preserve">Ebbene… in data lunedì 1 febbraio 2021, per l’Emilia-Romagna primo giorno di passaggio in zona gialla dopo un periodo in zona arancione, i dati ufficiali davano </w:t>
      </w:r>
    </w:p>
    <w:p w:rsidR="002620EB" w:rsidRDefault="002620EB" w:rsidP="002620EB">
      <w:pPr>
        <w:spacing w:line="252" w:lineRule="auto"/>
        <w:jc w:val="both"/>
      </w:pPr>
      <w:r>
        <w:rPr>
          <w:b/>
          <w:bCs/>
        </w:rPr>
        <w:t>- 207   posti in terapia intensiva su 757 (pari al 27%)*</w:t>
      </w:r>
    </w:p>
    <w:p w:rsidR="002620EB" w:rsidRDefault="002620EB" w:rsidP="002620EB">
      <w:pPr>
        <w:spacing w:line="252" w:lineRule="auto"/>
        <w:jc w:val="both"/>
      </w:pPr>
      <w:r>
        <w:rPr>
          <w:b/>
          <w:bCs/>
        </w:rPr>
        <w:t xml:space="preserve">- 2181 posti occupati in reparti </w:t>
      </w:r>
      <w:proofErr w:type="spellStart"/>
      <w:r>
        <w:rPr>
          <w:b/>
          <w:bCs/>
        </w:rPr>
        <w:t>covid</w:t>
      </w:r>
      <w:proofErr w:type="spellEnd"/>
      <w:r>
        <w:rPr>
          <w:b/>
          <w:bCs/>
        </w:rPr>
        <w:t xml:space="preserve"> su 6126 (pari al 36%)*</w:t>
      </w:r>
    </w:p>
    <w:p w:rsidR="002620EB" w:rsidRDefault="002620EB" w:rsidP="002620EB">
      <w:pPr>
        <w:spacing w:line="252" w:lineRule="auto"/>
        <w:jc w:val="both"/>
      </w:pPr>
      <w:r>
        <w:t>A quasi tre settimane di zona gialla e di apertura dei pubblici esercizi, i dati al 18 febbraio 2021 sono i seguenti:</w:t>
      </w:r>
    </w:p>
    <w:p w:rsidR="002620EB" w:rsidRDefault="002620EB" w:rsidP="002620EB">
      <w:pPr>
        <w:spacing w:line="252" w:lineRule="auto"/>
        <w:jc w:val="both"/>
      </w:pPr>
      <w:r>
        <w:rPr>
          <w:b/>
          <w:bCs/>
        </w:rPr>
        <w:t>- 181 posti in terapia intensiva su 757 (pari al 24%)*</w:t>
      </w:r>
    </w:p>
    <w:p w:rsidR="002620EB" w:rsidRDefault="002620EB" w:rsidP="002620EB">
      <w:pPr>
        <w:spacing w:line="252" w:lineRule="auto"/>
        <w:jc w:val="both"/>
      </w:pPr>
      <w:r>
        <w:rPr>
          <w:b/>
          <w:bCs/>
        </w:rPr>
        <w:t xml:space="preserve">- 1890 posti occupati in reparti </w:t>
      </w:r>
      <w:proofErr w:type="spellStart"/>
      <w:r>
        <w:rPr>
          <w:b/>
          <w:bCs/>
        </w:rPr>
        <w:t>covid</w:t>
      </w:r>
      <w:proofErr w:type="spellEnd"/>
      <w:r>
        <w:rPr>
          <w:b/>
          <w:bCs/>
        </w:rPr>
        <w:t xml:space="preserve"> su 6126 (pari al 31%)*</w:t>
      </w:r>
    </w:p>
    <w:p w:rsidR="002620EB" w:rsidRDefault="002620EB" w:rsidP="002620EB">
      <w:pPr>
        <w:spacing w:line="252" w:lineRule="auto"/>
        <w:jc w:val="both"/>
      </w:pPr>
      <w:r>
        <w:rPr>
          <w:b/>
          <w:bCs/>
        </w:rPr>
        <w:t>Dopo quasi tre settimane di riapertura dei pubblici esercizi sono sensibilmente calati sia i posti occupati in terapia intensiva sia quelli in reparti COVID.</w:t>
      </w:r>
    </w:p>
    <w:p w:rsidR="002620EB" w:rsidRDefault="002620EB" w:rsidP="002620EB">
      <w:pPr>
        <w:spacing w:line="252" w:lineRule="auto"/>
        <w:jc w:val="both"/>
      </w:pPr>
      <w:r>
        <w:rPr>
          <w:b/>
          <w:bCs/>
          <w:sz w:val="28"/>
          <w:szCs w:val="28"/>
        </w:rPr>
        <w:t>Ci spiegate perché dovremmo andare in zona arancione?</w:t>
      </w:r>
    </w:p>
    <w:p w:rsidR="002620EB" w:rsidRDefault="002620EB" w:rsidP="002620EB">
      <w:pPr>
        <w:spacing w:line="252" w:lineRule="auto"/>
      </w:pPr>
      <w:r>
        <w:t>*Dati fonte AGENAS</w:t>
      </w:r>
    </w:p>
    <w:p w:rsidR="007F561C" w:rsidRDefault="007F561C" w:rsidP="002620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" w:eastAsia="Arial Unicode MS" w:hAnsi="Helvetica" w:cs="Arial Unicode MS"/>
          <w:b/>
          <w:color w:val="000000"/>
          <w:sz w:val="24"/>
          <w:szCs w:val="24"/>
          <w:u w:val="single"/>
          <w:bdr w:val="nil"/>
        </w:rPr>
      </w:pPr>
    </w:p>
    <w:p w:rsidR="00370A7A" w:rsidRDefault="00370A7A" w:rsidP="00370A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Helvetica" w:eastAsia="Arial Unicode MS" w:hAnsi="Helvetica" w:cs="Arial Unicode MS"/>
          <w:color w:val="000000"/>
          <w:sz w:val="24"/>
          <w:szCs w:val="24"/>
          <w:u w:color="000000"/>
          <w:bdr w:val="nil"/>
        </w:rPr>
      </w:pPr>
      <w:r>
        <w:rPr>
          <w:rFonts w:ascii="Helvetica" w:eastAsia="Arial Unicode MS" w:hAnsi="Helvetica" w:cs="Arial Unicode MS"/>
          <w:color w:val="000000"/>
          <w:sz w:val="24"/>
          <w:szCs w:val="24"/>
          <w:u w:color="000000"/>
          <w:bdr w:val="nil"/>
        </w:rPr>
        <w:t>L’Ufficio Stampa</w:t>
      </w:r>
    </w:p>
    <w:p w:rsidR="00370A7A" w:rsidRDefault="00370A7A" w:rsidP="00370A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Helvetica" w:eastAsia="Arial Unicode MS" w:hAnsi="Helvetica" w:cs="Arial Unicode MS"/>
          <w:color w:val="000000"/>
          <w:sz w:val="24"/>
          <w:szCs w:val="24"/>
          <w:u w:color="000000"/>
          <w:bdr w:val="nil"/>
        </w:rPr>
      </w:pPr>
    </w:p>
    <w:p w:rsidR="00370A7A" w:rsidRDefault="00370A7A" w:rsidP="00370A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Helvetica" w:eastAsia="Arial Unicode MS" w:hAnsi="Helvetica" w:cs="Arial Unicode MS"/>
          <w:color w:val="000000"/>
          <w:sz w:val="24"/>
          <w:szCs w:val="24"/>
          <w:u w:color="000000"/>
          <w:bdr w:val="nil"/>
        </w:rPr>
      </w:pPr>
      <w:r>
        <w:rPr>
          <w:rFonts w:ascii="Helvetica" w:eastAsia="Arial Unicode MS" w:hAnsi="Helvetica" w:cs="Arial Unicode MS"/>
          <w:color w:val="000000"/>
          <w:sz w:val="24"/>
          <w:szCs w:val="24"/>
          <w:u w:color="000000"/>
          <w:bdr w:val="nil"/>
        </w:rPr>
        <w:t xml:space="preserve">Bologna, </w:t>
      </w:r>
      <w:r w:rsidR="002620EB">
        <w:rPr>
          <w:rFonts w:ascii="Helvetica" w:eastAsia="Arial Unicode MS" w:hAnsi="Helvetica" w:cs="Arial Unicode MS"/>
          <w:color w:val="000000"/>
          <w:sz w:val="24"/>
          <w:szCs w:val="24"/>
          <w:u w:color="000000"/>
          <w:bdr w:val="nil"/>
        </w:rPr>
        <w:t>18</w:t>
      </w:r>
      <w:r w:rsidR="00813544">
        <w:rPr>
          <w:rFonts w:ascii="Helvetica" w:eastAsia="Arial Unicode MS" w:hAnsi="Helvetica" w:cs="Arial Unicode MS"/>
          <w:color w:val="000000"/>
          <w:sz w:val="24"/>
          <w:szCs w:val="24"/>
          <w:u w:color="000000"/>
          <w:bdr w:val="nil"/>
        </w:rPr>
        <w:t xml:space="preserve"> </w:t>
      </w:r>
      <w:r w:rsidR="002620EB">
        <w:rPr>
          <w:rFonts w:ascii="Helvetica" w:eastAsia="Arial Unicode MS" w:hAnsi="Helvetica" w:cs="Arial Unicode MS"/>
          <w:color w:val="000000"/>
          <w:sz w:val="24"/>
          <w:szCs w:val="24"/>
          <w:u w:color="000000"/>
          <w:bdr w:val="nil"/>
        </w:rPr>
        <w:t>febbraio</w:t>
      </w:r>
      <w:r>
        <w:rPr>
          <w:rFonts w:ascii="Helvetica" w:eastAsia="Arial Unicode MS" w:hAnsi="Helvetica" w:cs="Arial Unicode MS"/>
          <w:color w:val="000000"/>
          <w:sz w:val="24"/>
          <w:szCs w:val="24"/>
          <w:u w:color="000000"/>
          <w:bdr w:val="nil"/>
        </w:rPr>
        <w:t xml:space="preserve"> 202</w:t>
      </w:r>
      <w:r w:rsidR="002620EB">
        <w:rPr>
          <w:rFonts w:ascii="Helvetica" w:eastAsia="Arial Unicode MS" w:hAnsi="Helvetica" w:cs="Arial Unicode MS"/>
          <w:color w:val="000000"/>
          <w:sz w:val="24"/>
          <w:szCs w:val="24"/>
          <w:u w:color="000000"/>
          <w:bdr w:val="nil"/>
        </w:rPr>
        <w:t>1</w:t>
      </w:r>
    </w:p>
    <w:p w:rsidR="00E85374" w:rsidRDefault="00E85374" w:rsidP="00287F91"/>
    <w:sectPr w:rsidR="00E85374" w:rsidSect="00F9127F">
      <w:headerReference w:type="default" r:id="rId8"/>
      <w:footerReference w:type="default" r:id="rId9"/>
      <w:pgSz w:w="11906" w:h="16838" w:code="9"/>
      <w:pgMar w:top="1871" w:right="851" w:bottom="1134" w:left="851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561" w:rsidRDefault="00475561">
      <w:r>
        <w:separator/>
      </w:r>
    </w:p>
  </w:endnote>
  <w:endnote w:type="continuationSeparator" w:id="0">
    <w:p w:rsidR="00475561" w:rsidRDefault="0047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CE 45 Light">
    <w:altName w:val="Microsoft YaHei"/>
    <w:charset w:val="00"/>
    <w:family w:val="auto"/>
    <w:pitch w:val="variable"/>
    <w:sig w:usb0="8000002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EAD" w:rsidRDefault="00CE2A9C" w:rsidP="00AD57C4">
    <w:pPr>
      <w:pStyle w:val="Pidipagina"/>
      <w:tabs>
        <w:tab w:val="clear" w:pos="4819"/>
        <w:tab w:val="center" w:pos="4962"/>
      </w:tabs>
      <w:jc w:val="center"/>
      <w:rPr>
        <w:rFonts w:ascii="Frutiger CE 45 Light" w:eastAsia="Arial Unicode MS" w:hAnsi="Frutiger CE 45 Light" w:cs="Arial"/>
        <w:color w:val="00467F"/>
        <w:sz w:val="20"/>
        <w:szCs w:val="20"/>
      </w:rPr>
    </w:pPr>
    <w:r w:rsidRPr="00CE2A9C">
      <w:rPr>
        <w:rFonts w:ascii="Frutiger CE 45 Light" w:eastAsia="Arial Unicode MS" w:hAnsi="Frutiger CE 45 Light" w:cs="Arial"/>
        <w:color w:val="00467F"/>
        <w:sz w:val="20"/>
        <w:szCs w:val="20"/>
      </w:rPr>
      <w:t>40129 Bologna – Via Tiarini 22 – tel. 051 4156060 – fax 051 4156061</w:t>
    </w:r>
    <w:r w:rsidR="00FE3A1C">
      <w:rPr>
        <w:rFonts w:ascii="Frutiger CE 45 Light" w:eastAsia="Arial Unicode MS" w:hAnsi="Frutiger CE 45 Light" w:cs="Arial"/>
        <w:color w:val="00467F"/>
        <w:sz w:val="20"/>
        <w:szCs w:val="20"/>
      </w:rPr>
      <w:br/>
    </w:r>
    <w:r w:rsidRPr="00CE2A9C">
      <w:rPr>
        <w:rFonts w:ascii="Frutiger CE 45 Light" w:eastAsia="Arial Unicode MS" w:hAnsi="Frutiger CE 45 Light" w:cs="Arial"/>
        <w:color w:val="00467F"/>
        <w:sz w:val="20"/>
        <w:szCs w:val="20"/>
      </w:rPr>
      <w:t xml:space="preserve">e-mail: </w:t>
    </w:r>
    <w:hyperlink r:id="rId1" w:history="1">
      <w:r w:rsidRPr="00CE2A9C">
        <w:rPr>
          <w:rStyle w:val="Collegamentoipertestuale"/>
          <w:rFonts w:ascii="Frutiger CE 45 Light" w:eastAsia="Arial Unicode MS" w:hAnsi="Frutiger CE 45 Light" w:cs="Arial"/>
          <w:color w:val="00467F"/>
          <w:sz w:val="20"/>
          <w:szCs w:val="20"/>
          <w:u w:val="none"/>
        </w:rPr>
        <w:t>emiliaromagna@confcommercio.it</w:t>
      </w:r>
    </w:hyperlink>
    <w:r w:rsidRPr="00CE2A9C">
      <w:rPr>
        <w:rFonts w:ascii="Frutiger CE 45 Light" w:eastAsia="Arial Unicode MS" w:hAnsi="Frutiger CE 45 Light" w:cs="Arial"/>
        <w:color w:val="00467F"/>
        <w:sz w:val="20"/>
        <w:szCs w:val="20"/>
      </w:rPr>
      <w:t xml:space="preserve"> – </w:t>
    </w:r>
    <w:hyperlink r:id="rId2" w:history="1">
      <w:r w:rsidR="00206EAD" w:rsidRPr="00276CAE">
        <w:rPr>
          <w:rStyle w:val="Collegamentoipertestuale"/>
          <w:rFonts w:ascii="Frutiger CE 45 Light" w:eastAsia="Arial Unicode MS" w:hAnsi="Frutiger CE 45 Light" w:cs="Arial"/>
          <w:sz w:val="20"/>
          <w:szCs w:val="20"/>
        </w:rPr>
        <w:t>www.confcommercio-er.it</w:t>
      </w:r>
    </w:hyperlink>
  </w:p>
  <w:p w:rsidR="0008493F" w:rsidRPr="00CE2A9C" w:rsidRDefault="00206EAD" w:rsidP="00AD57C4">
    <w:pPr>
      <w:pStyle w:val="Pidipagina"/>
      <w:tabs>
        <w:tab w:val="clear" w:pos="4819"/>
        <w:tab w:val="center" w:pos="4962"/>
      </w:tabs>
      <w:jc w:val="center"/>
      <w:rPr>
        <w:rFonts w:ascii="Frutiger CE 45 Light" w:eastAsia="Arial Unicode MS" w:hAnsi="Frutiger CE 45 Light" w:cs="Arial"/>
        <w:color w:val="00467F"/>
        <w:sz w:val="20"/>
        <w:szCs w:val="20"/>
      </w:rPr>
    </w:pPr>
    <w:r w:rsidRPr="00206EAD">
      <w:rPr>
        <w:rFonts w:ascii="Frutiger CE 45 Light" w:eastAsia="Arial Unicode MS" w:hAnsi="Frutiger CE 45 Light" w:cs="Arial"/>
        <w:color w:val="00467F"/>
        <w:sz w:val="20"/>
        <w:szCs w:val="20"/>
      </w:rPr>
      <w:t xml:space="preserve">Iscrizione </w:t>
    </w:r>
    <w:r w:rsidR="0008493F" w:rsidRPr="0008493F">
      <w:rPr>
        <w:rFonts w:ascii="Frutiger CE 45 Light" w:eastAsia="Arial Unicode MS" w:hAnsi="Frutiger CE 45 Light" w:cs="Arial"/>
        <w:color w:val="00467F"/>
        <w:sz w:val="20"/>
        <w:szCs w:val="20"/>
      </w:rPr>
      <w:t>Registro Regional</w:t>
    </w:r>
    <w:r w:rsidR="003756E7">
      <w:rPr>
        <w:rFonts w:ascii="Frutiger CE 45 Light" w:eastAsia="Arial Unicode MS" w:hAnsi="Frutiger CE 45 Light" w:cs="Arial"/>
        <w:color w:val="00467F"/>
        <w:sz w:val="20"/>
        <w:szCs w:val="20"/>
      </w:rPr>
      <w:t>e delle Persone Giuridiche dell’</w:t>
    </w:r>
    <w:r w:rsidR="0008493F" w:rsidRPr="0008493F">
      <w:rPr>
        <w:rFonts w:ascii="Frutiger CE 45 Light" w:eastAsia="Arial Unicode MS" w:hAnsi="Frutiger CE 45 Light" w:cs="Arial"/>
        <w:color w:val="00467F"/>
        <w:sz w:val="20"/>
        <w:szCs w:val="20"/>
      </w:rPr>
      <w:t>Emilia-Romagna al n. 590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561" w:rsidRDefault="00475561">
      <w:r>
        <w:separator/>
      </w:r>
    </w:p>
  </w:footnote>
  <w:footnote w:type="continuationSeparator" w:id="0">
    <w:p w:rsidR="00475561" w:rsidRDefault="00475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A9C" w:rsidRDefault="00CE2A9C" w:rsidP="00C71E74">
    <w:pPr>
      <w:pStyle w:val="Intestazione"/>
      <w:jc w:val="center"/>
    </w:pPr>
    <w:r>
      <w:rPr>
        <w:noProof/>
      </w:rPr>
      <w:drawing>
        <wp:inline distT="0" distB="0" distL="0" distR="0" wp14:anchorId="1207327B" wp14:editId="392864BD">
          <wp:extent cx="2286000" cy="1363862"/>
          <wp:effectExtent l="19050" t="0" r="0" b="0"/>
          <wp:docPr id="2" name="Immagine 1" descr="LOGO ORIGINALE+ER+UNIONE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GINALE+ER+UNIONE_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1441" cy="1361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F7458"/>
    <w:multiLevelType w:val="hybridMultilevel"/>
    <w:tmpl w:val="F91C60BA"/>
    <w:lvl w:ilvl="0" w:tplc="3174BC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A01C1"/>
    <w:multiLevelType w:val="hybridMultilevel"/>
    <w:tmpl w:val="07EE9D60"/>
    <w:lvl w:ilvl="0" w:tplc="122A1612">
      <w:start w:val="23"/>
      <w:numFmt w:val="bullet"/>
      <w:lvlText w:val="-"/>
      <w:lvlJc w:val="left"/>
      <w:pPr>
        <w:ind w:left="5685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45" w:hanging="360"/>
      </w:pPr>
      <w:rPr>
        <w:rFonts w:ascii="Wingdings" w:hAnsi="Wingdings" w:hint="default"/>
      </w:rPr>
    </w:lvl>
  </w:abstractNum>
  <w:abstractNum w:abstractNumId="2" w15:restartNumberingAfterBreak="0">
    <w:nsid w:val="294D31B3"/>
    <w:multiLevelType w:val="hybridMultilevel"/>
    <w:tmpl w:val="AB207D38"/>
    <w:lvl w:ilvl="0" w:tplc="284A097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48953ED3"/>
    <w:multiLevelType w:val="hybridMultilevel"/>
    <w:tmpl w:val="B4D045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836B9"/>
    <w:multiLevelType w:val="hybridMultilevel"/>
    <w:tmpl w:val="995CD5BA"/>
    <w:lvl w:ilvl="0" w:tplc="B214396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5B8A0E5D"/>
    <w:multiLevelType w:val="hybridMultilevel"/>
    <w:tmpl w:val="BDD63A70"/>
    <w:lvl w:ilvl="0" w:tplc="1CEE4086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6" w15:restartNumberingAfterBreak="0">
    <w:nsid w:val="659C642E"/>
    <w:multiLevelType w:val="hybridMultilevel"/>
    <w:tmpl w:val="F92EEB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77FD7"/>
    <w:multiLevelType w:val="hybridMultilevel"/>
    <w:tmpl w:val="07745D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8A"/>
    <w:rsid w:val="00005B46"/>
    <w:rsid w:val="00013F5C"/>
    <w:rsid w:val="00023B3B"/>
    <w:rsid w:val="0005237C"/>
    <w:rsid w:val="0005562A"/>
    <w:rsid w:val="0007555E"/>
    <w:rsid w:val="00080219"/>
    <w:rsid w:val="0008493F"/>
    <w:rsid w:val="00144590"/>
    <w:rsid w:val="001576E9"/>
    <w:rsid w:val="001878BA"/>
    <w:rsid w:val="001C6A15"/>
    <w:rsid w:val="001C6F0A"/>
    <w:rsid w:val="001D0886"/>
    <w:rsid w:val="001E5EA7"/>
    <w:rsid w:val="001E7A5B"/>
    <w:rsid w:val="00203054"/>
    <w:rsid w:val="00206EAD"/>
    <w:rsid w:val="0021534F"/>
    <w:rsid w:val="00216848"/>
    <w:rsid w:val="00220A42"/>
    <w:rsid w:val="002620EB"/>
    <w:rsid w:val="00271F92"/>
    <w:rsid w:val="00273764"/>
    <w:rsid w:val="00287F91"/>
    <w:rsid w:val="00295220"/>
    <w:rsid w:val="002A2958"/>
    <w:rsid w:val="002B7603"/>
    <w:rsid w:val="002D0C6B"/>
    <w:rsid w:val="002E603A"/>
    <w:rsid w:val="002E65CC"/>
    <w:rsid w:val="002F6358"/>
    <w:rsid w:val="003065F5"/>
    <w:rsid w:val="003121A2"/>
    <w:rsid w:val="00370A7A"/>
    <w:rsid w:val="00370D7E"/>
    <w:rsid w:val="003756E7"/>
    <w:rsid w:val="00383ABC"/>
    <w:rsid w:val="0038471B"/>
    <w:rsid w:val="0039076B"/>
    <w:rsid w:val="0039787C"/>
    <w:rsid w:val="00410EF4"/>
    <w:rsid w:val="00475561"/>
    <w:rsid w:val="004A2327"/>
    <w:rsid w:val="004A3E77"/>
    <w:rsid w:val="004B313A"/>
    <w:rsid w:val="004D1EC4"/>
    <w:rsid w:val="004D4AFE"/>
    <w:rsid w:val="004F0196"/>
    <w:rsid w:val="00516060"/>
    <w:rsid w:val="0052617A"/>
    <w:rsid w:val="005365BE"/>
    <w:rsid w:val="0057199A"/>
    <w:rsid w:val="005B7A29"/>
    <w:rsid w:val="005C193C"/>
    <w:rsid w:val="005F2243"/>
    <w:rsid w:val="005F7B74"/>
    <w:rsid w:val="00625E09"/>
    <w:rsid w:val="0065151E"/>
    <w:rsid w:val="00656AF6"/>
    <w:rsid w:val="00657321"/>
    <w:rsid w:val="0067658E"/>
    <w:rsid w:val="0068374A"/>
    <w:rsid w:val="00685F26"/>
    <w:rsid w:val="006B566F"/>
    <w:rsid w:val="006C1537"/>
    <w:rsid w:val="006E1EBA"/>
    <w:rsid w:val="006F1FCC"/>
    <w:rsid w:val="00724CB4"/>
    <w:rsid w:val="007367F7"/>
    <w:rsid w:val="00742601"/>
    <w:rsid w:val="0076049E"/>
    <w:rsid w:val="00764ED2"/>
    <w:rsid w:val="00770A1A"/>
    <w:rsid w:val="007A2050"/>
    <w:rsid w:val="007B4C9B"/>
    <w:rsid w:val="007C0A20"/>
    <w:rsid w:val="007C15D1"/>
    <w:rsid w:val="007D74BC"/>
    <w:rsid w:val="007E4709"/>
    <w:rsid w:val="007F561C"/>
    <w:rsid w:val="007F6E56"/>
    <w:rsid w:val="007F71C2"/>
    <w:rsid w:val="00801918"/>
    <w:rsid w:val="008079F4"/>
    <w:rsid w:val="0081202F"/>
    <w:rsid w:val="00813544"/>
    <w:rsid w:val="00823F94"/>
    <w:rsid w:val="00880EC3"/>
    <w:rsid w:val="00887CE5"/>
    <w:rsid w:val="008E2B15"/>
    <w:rsid w:val="008E59C4"/>
    <w:rsid w:val="00914C7B"/>
    <w:rsid w:val="00914FD4"/>
    <w:rsid w:val="00915048"/>
    <w:rsid w:val="00922041"/>
    <w:rsid w:val="00934D4B"/>
    <w:rsid w:val="009403E7"/>
    <w:rsid w:val="0094279F"/>
    <w:rsid w:val="00981711"/>
    <w:rsid w:val="009C25D9"/>
    <w:rsid w:val="009C4F5B"/>
    <w:rsid w:val="009E5213"/>
    <w:rsid w:val="00A1164E"/>
    <w:rsid w:val="00A1544C"/>
    <w:rsid w:val="00A2508D"/>
    <w:rsid w:val="00A270E2"/>
    <w:rsid w:val="00A3357E"/>
    <w:rsid w:val="00A41133"/>
    <w:rsid w:val="00A6239F"/>
    <w:rsid w:val="00A95FE2"/>
    <w:rsid w:val="00AB0235"/>
    <w:rsid w:val="00AD130B"/>
    <w:rsid w:val="00AD3F39"/>
    <w:rsid w:val="00AD57C4"/>
    <w:rsid w:val="00AD5ABE"/>
    <w:rsid w:val="00B066EA"/>
    <w:rsid w:val="00B11FD4"/>
    <w:rsid w:val="00B219D3"/>
    <w:rsid w:val="00B34A44"/>
    <w:rsid w:val="00B46E4B"/>
    <w:rsid w:val="00B657F0"/>
    <w:rsid w:val="00B75884"/>
    <w:rsid w:val="00BE6B9D"/>
    <w:rsid w:val="00BF05C4"/>
    <w:rsid w:val="00BF704B"/>
    <w:rsid w:val="00BF79BD"/>
    <w:rsid w:val="00BF7FD0"/>
    <w:rsid w:val="00C144E8"/>
    <w:rsid w:val="00C654FE"/>
    <w:rsid w:val="00C71E74"/>
    <w:rsid w:val="00C7430D"/>
    <w:rsid w:val="00C931D5"/>
    <w:rsid w:val="00CA2E25"/>
    <w:rsid w:val="00CB127A"/>
    <w:rsid w:val="00CE2A9C"/>
    <w:rsid w:val="00CF0EBD"/>
    <w:rsid w:val="00CF3F0B"/>
    <w:rsid w:val="00CF4F9E"/>
    <w:rsid w:val="00CF55D7"/>
    <w:rsid w:val="00D05104"/>
    <w:rsid w:val="00D42101"/>
    <w:rsid w:val="00D45A38"/>
    <w:rsid w:val="00D47FE7"/>
    <w:rsid w:val="00D9324F"/>
    <w:rsid w:val="00D9527A"/>
    <w:rsid w:val="00DC1E45"/>
    <w:rsid w:val="00DC7E9A"/>
    <w:rsid w:val="00DD0439"/>
    <w:rsid w:val="00DD638E"/>
    <w:rsid w:val="00E136CD"/>
    <w:rsid w:val="00E27AAD"/>
    <w:rsid w:val="00E34CB2"/>
    <w:rsid w:val="00E4209D"/>
    <w:rsid w:val="00E7145E"/>
    <w:rsid w:val="00E72E19"/>
    <w:rsid w:val="00E777EC"/>
    <w:rsid w:val="00E85374"/>
    <w:rsid w:val="00E910F5"/>
    <w:rsid w:val="00E9628A"/>
    <w:rsid w:val="00EC2F32"/>
    <w:rsid w:val="00EE6D1F"/>
    <w:rsid w:val="00F1660E"/>
    <w:rsid w:val="00F4215B"/>
    <w:rsid w:val="00F44D1A"/>
    <w:rsid w:val="00F50799"/>
    <w:rsid w:val="00F63596"/>
    <w:rsid w:val="00F74C59"/>
    <w:rsid w:val="00F761FE"/>
    <w:rsid w:val="00F87C72"/>
    <w:rsid w:val="00F9127F"/>
    <w:rsid w:val="00F93B3D"/>
    <w:rsid w:val="00FA09F9"/>
    <w:rsid w:val="00FA1C64"/>
    <w:rsid w:val="00FA5259"/>
    <w:rsid w:val="00FC1BAD"/>
    <w:rsid w:val="00FD2881"/>
    <w:rsid w:val="00F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446BFC-2D3A-432F-8DF2-040558BC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7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C1B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1202F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color w:val="000080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71E7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rsid w:val="00C71E7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71E74"/>
    <w:rPr>
      <w:color w:val="0000FF"/>
      <w:u w:val="single"/>
    </w:rPr>
  </w:style>
  <w:style w:type="paragraph" w:styleId="Testofumetto">
    <w:name w:val="Balloon Text"/>
    <w:basedOn w:val="Normale"/>
    <w:semiHidden/>
    <w:rsid w:val="00C71E7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F74C59"/>
    <w:rPr>
      <w:b/>
      <w:bCs/>
    </w:rPr>
  </w:style>
  <w:style w:type="character" w:customStyle="1" w:styleId="Titolo2Carattere">
    <w:name w:val="Titolo 2 Carattere"/>
    <w:basedOn w:val="Carpredefinitoparagrafo"/>
    <w:link w:val="Titolo2"/>
    <w:rsid w:val="0081202F"/>
    <w:rPr>
      <w:rFonts w:ascii="Arial" w:hAnsi="Arial"/>
      <w:b/>
      <w:color w:val="000080"/>
      <w:sz w:val="26"/>
    </w:rPr>
  </w:style>
  <w:style w:type="character" w:customStyle="1" w:styleId="Titolo1Carattere">
    <w:name w:val="Titolo 1 Carattere"/>
    <w:basedOn w:val="Carpredefinitoparagrafo"/>
    <w:link w:val="Titolo1"/>
    <w:rsid w:val="00FC1BAD"/>
    <w:rPr>
      <w:rFonts w:ascii="Arial" w:hAnsi="Arial" w:cs="Arial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qFormat/>
    <w:rsid w:val="00FC1BAD"/>
    <w:pPr>
      <w:spacing w:after="0" w:line="240" w:lineRule="auto"/>
      <w:jc w:val="center"/>
    </w:pPr>
    <w:rPr>
      <w:rFonts w:ascii="Tahoma" w:eastAsia="Times New Roman" w:hAnsi="Tahoma" w:cs="Times New Roman"/>
      <w:b/>
      <w:color w:val="008000"/>
      <w:sz w:val="4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C1BAD"/>
    <w:rPr>
      <w:rFonts w:ascii="Tahoma" w:hAnsi="Tahoma"/>
      <w:b/>
      <w:color w:val="008000"/>
      <w:sz w:val="48"/>
      <w:szCs w:val="24"/>
    </w:rPr>
  </w:style>
  <w:style w:type="paragraph" w:styleId="Paragrafoelenco">
    <w:name w:val="List Paragraph"/>
    <w:basedOn w:val="Normale"/>
    <w:uiPriority w:val="34"/>
    <w:qFormat/>
    <w:rsid w:val="00685F2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commercio-er.it" TargetMode="External"/><Relationship Id="rId1" Type="http://schemas.openxmlformats.org/officeDocument/2006/relationships/hyperlink" Target="mailto:emiliaromagna@confcommerc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ONFCOMMERCIO\SEGRETERIA\modelli\confcommercio%20emilia%20romagna%207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AA047-4068-46B7-AD0F-455D4D2B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confcommercio emilia romagna 70.dotx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Confcommercio</Company>
  <LinksUpToDate>false</LinksUpToDate>
  <CharactersWithSpaces>2140</CharactersWithSpaces>
  <SharedDoc>false</SharedDoc>
  <HLinks>
    <vt:vector size="6" baseType="variant">
      <vt:variant>
        <vt:i4>1900596</vt:i4>
      </vt:variant>
      <vt:variant>
        <vt:i4>0</vt:i4>
      </vt:variant>
      <vt:variant>
        <vt:i4>0</vt:i4>
      </vt:variant>
      <vt:variant>
        <vt:i4>5</vt:i4>
      </vt:variant>
      <vt:variant>
        <vt:lpwstr>mailto:emiliaromagna@confcommercio.it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Mariangela Mandreoli</dc:creator>
  <cp:lastModifiedBy>Gotti Annalisa</cp:lastModifiedBy>
  <cp:revision>2</cp:revision>
  <cp:lastPrinted>2021-02-19T08:48:00Z</cp:lastPrinted>
  <dcterms:created xsi:type="dcterms:W3CDTF">2021-02-19T10:02:00Z</dcterms:created>
  <dcterms:modified xsi:type="dcterms:W3CDTF">2021-02-19T10:02:00Z</dcterms:modified>
</cp:coreProperties>
</file>